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0883</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Gothenburg, SE, Feb. 9th ~ 13th, 2026</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design of the synchronization</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1.1</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1"/>
          <w:szCs w:val="21"/>
          <w:lang w:val="en-US" w:eastAsia="zh-CN"/>
        </w:rPr>
      </w:pPr>
      <w:r>
        <w:rPr>
          <w:rFonts w:hint="default" w:eastAsia="宋体"/>
          <w:sz w:val="20"/>
          <w:szCs w:val="20"/>
          <w:lang w:val="en-US" w:eastAsia="zh-CN"/>
        </w:rPr>
        <w:t>At previous meetings, the design of the synchronization signal was discussed, and the following agreements were reached[1][2][3]</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252" w:lineRule="auto"/>
              <w:ind w:left="0" w:right="0" w:firstLine="0"/>
              <w:contextualSpacing/>
              <w:jc w:val="both"/>
              <w:textAlignment w:val="baseline"/>
              <w:rPr>
                <w:rFonts w:hint="default" w:ascii="Times New Roman" w:hAnsi="Times New Roman" w:cs="Times New Roman" w:eastAsiaTheme="minorEastAsia"/>
                <w:kern w:val="2"/>
                <w:sz w:val="20"/>
                <w:szCs w:val="20"/>
                <w:highlight w:val="green"/>
                <w:lang w:val="en-US" w:eastAsia="zh-CN"/>
              </w:rPr>
            </w:pPr>
            <w:r>
              <w:rPr>
                <w:rFonts w:hint="default" w:ascii="Times New Roman" w:hAnsi="Times New Roman" w:cs="Times New Roman" w:eastAsiaTheme="minorEastAsia"/>
                <w:kern w:val="2"/>
                <w:sz w:val="20"/>
                <w:szCs w:val="20"/>
                <w:highlight w:val="green"/>
                <w:lang w:val="en-US" w:eastAsia="zh-CN"/>
              </w:rPr>
              <w:t>Agreement@RAN1#122bis</w:t>
            </w:r>
          </w:p>
          <w:p>
            <w:pPr>
              <w:keepNext w:val="0"/>
              <w:keepLines w:val="0"/>
              <w:widowControl w:val="0"/>
              <w:numPr>
                <w:ilvl w:val="0"/>
                <w:numId w:val="3"/>
              </w:numPr>
              <w:suppressLineNumbers w:val="0"/>
              <w:suppressAutoHyphens/>
              <w:overflowPunct/>
              <w:autoSpaceDE/>
              <w:autoSpaceDN/>
              <w:adjustRightInd/>
              <w:spacing w:beforeAutospacing="0" w:after="120" w:afterAutospacing="0" w:line="259" w:lineRule="auto"/>
              <w:ind w:left="42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High-level aspects to consider for the 6GR sync signal structure include, but not limited to</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Sync raster design</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Spectrum allocation</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smallest maximum supported RF and BB UE BW without spectrum aggregation</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mobile broadband service requirements as high priority</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Energy efficiency for both BS and UE</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Detection/tracking performance, latency, and complexity</w:t>
            </w:r>
          </w:p>
          <w:p>
            <w:pPr>
              <w:keepNext w:val="0"/>
              <w:keepLines w:val="0"/>
              <w:widowControl w:val="0"/>
              <w:numPr>
                <w:ilvl w:val="1"/>
                <w:numId w:val="4"/>
              </w:numPr>
              <w:suppressLineNumbers w:val="0"/>
              <w:suppressAutoHyphens/>
              <w:overflowPunct/>
              <w:autoSpaceDE/>
              <w:autoSpaceDN/>
              <w:adjustRightInd/>
              <w:spacing w:beforeAutospacing="0" w:after="120" w:afterAutospacing="0" w:line="259" w:lineRule="auto"/>
              <w:ind w:left="126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Including initial cell search</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Coverage target</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Common design for diverse device types</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Consideration of the supported deployment</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Consideration on whether the single sync signal structure is sufficient</w:t>
            </w:r>
          </w:p>
          <w:p>
            <w:pPr>
              <w:keepNext w:val="0"/>
              <w:keepLines w:val="0"/>
              <w:widowControl w:val="0"/>
              <w:numPr>
                <w:ilvl w:val="0"/>
                <w:numId w:val="4"/>
              </w:numPr>
              <w:suppressLineNumbers w:val="0"/>
              <w:suppressAutoHyphens/>
              <w:overflowPunct/>
              <w:autoSpaceDE/>
              <w:autoSpaceDN/>
              <w:adjustRightInd/>
              <w:spacing w:beforeAutospacing="0" w:after="120" w:afterAutospacing="0" w:line="259" w:lineRule="auto"/>
              <w:ind w:left="840" w:right="0" w:hanging="420"/>
              <w:jc w:val="both"/>
              <w:textAlignment w:val="auto"/>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Note: Aspects impacting on the periodicity is to be discussed under AI11.5</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ascii="Times New Roman" w:hAnsi="Times New Roman" w:cs="Times New Roman"/>
                <w:sz w:val="20"/>
                <w:szCs w:val="20"/>
                <w:vertAlign w:val="baseline"/>
                <w:lang w:val="en-US" w:eastAsia="zh-CN"/>
              </w:rPr>
            </w:pPr>
          </w:p>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宋体" w:cs="Times New Roman"/>
                <w:kern w:val="2"/>
                <w:sz w:val="20"/>
                <w:szCs w:val="20"/>
                <w:highlight w:val="green"/>
                <w:lang w:val="en-US" w:eastAsia="zh-CN"/>
              </w:rPr>
            </w:pPr>
            <w:r>
              <w:rPr>
                <w:rFonts w:hint="default" w:ascii="Times New Roman" w:hAnsi="Times New Roman" w:eastAsia="Times New Roman" w:cs="Times New Roman"/>
                <w:kern w:val="2"/>
                <w:sz w:val="20"/>
                <w:szCs w:val="20"/>
                <w:highlight w:val="green"/>
                <w:lang w:val="en-US" w:eastAsia="zh-CN"/>
              </w:rPr>
              <w:t>Agreement</w:t>
            </w:r>
            <w:r>
              <w:rPr>
                <w:rFonts w:hint="default" w:ascii="Times New Roman" w:hAnsi="Times New Roman" w:eastAsia="宋体" w:cs="Times New Roman"/>
                <w:kern w:val="2"/>
                <w:sz w:val="20"/>
                <w:szCs w:val="20"/>
                <w:highlight w:val="green"/>
                <w:lang w:val="en-US" w:eastAsia="zh-CN"/>
              </w:rPr>
              <w:t>@RAN1#123</w:t>
            </w:r>
          </w:p>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If the minimum</w:t>
            </w:r>
            <w:r>
              <w:rPr>
                <w:rFonts w:hint="default" w:ascii="Times New Roman" w:hAnsi="Times New Roman" w:eastAsia="Times New Roman" w:cs="Times New Roman"/>
                <w:kern w:val="2"/>
                <w:sz w:val="20"/>
                <w:szCs w:val="20"/>
                <w:lang w:val="en-US" w:eastAsia="zh-CN"/>
              </w:rPr>
              <w:t xml:space="preserve"> spectrum allocation</w:t>
            </w:r>
            <w:r>
              <w:rPr>
                <w:rFonts w:hint="default" w:ascii="Times New Roman" w:hAnsi="Times New Roman" w:cs="Times New Roman" w:eastAsiaTheme="minorEastAsia"/>
                <w:kern w:val="2"/>
                <w:sz w:val="20"/>
                <w:szCs w:val="20"/>
                <w:lang w:val="en-US" w:eastAsia="zh-CN"/>
              </w:rPr>
              <w:t xml:space="preserve"> is 3MHz with 15kHz SCS for 6GR,</w:t>
            </w:r>
          </w:p>
          <w:p>
            <w:pPr>
              <w:keepNext w:val="0"/>
              <w:keepLines w:val="0"/>
              <w:widowControl w:val="0"/>
              <w:numPr>
                <w:ilvl w:val="0"/>
                <w:numId w:val="5"/>
              </w:numPr>
              <w:suppressLineNumbers w:val="0"/>
              <w:overflowPunct w:val="0"/>
              <w:autoSpaceDE w:val="0"/>
              <w:autoSpaceDN w:val="0"/>
              <w:adjustRightInd w:val="0"/>
              <w:spacing w:beforeAutospacing="0" w:afterAutospacing="0"/>
              <w:ind w:left="440" w:leftChars="0" w:right="0" w:hanging="440"/>
              <w:jc w:val="both"/>
              <w:textAlignment w:val="baseline"/>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kern w:val="2"/>
                <w:sz w:val="20"/>
                <w:szCs w:val="20"/>
                <w:lang w:val="en-US" w:eastAsia="en-US" w:bidi="ar-SA"/>
              </w:rPr>
              <w:t xml:space="preserve">Opt1: </w:t>
            </w:r>
            <w:r>
              <w:rPr>
                <w:rFonts w:hint="default" w:ascii="Times New Roman" w:hAnsi="Times New Roman" w:eastAsia="Times New Roman" w:cs="Times New Roman"/>
                <w:color w:val="auto"/>
                <w:kern w:val="2"/>
                <w:sz w:val="20"/>
                <w:szCs w:val="20"/>
                <w:lang w:val="en-US" w:eastAsia="en-US" w:bidi="ar-SA"/>
              </w:rPr>
              <w:t>D</w:t>
            </w:r>
            <w:r>
              <w:rPr>
                <w:rFonts w:hint="default" w:ascii="Times New Roman" w:hAnsi="Times New Roman" w:eastAsia="Times New Roman" w:cs="Times New Roman"/>
                <w:color w:val="auto"/>
                <w:kern w:val="2"/>
                <w:sz w:val="20"/>
                <w:szCs w:val="20"/>
                <w:lang w:val="en-US" w:eastAsia="zh-CN" w:bidi="ar-SA"/>
              </w:rPr>
              <w:t>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w:t>
            </w:r>
            <w:r>
              <w:rPr>
                <w:rFonts w:hint="default" w:ascii="Times New Roman" w:hAnsi="Times New Roman" w:eastAsia="Times New Roman" w:cs="Times New Roman"/>
                <w:color w:val="auto"/>
                <w:kern w:val="2"/>
                <w:sz w:val="20"/>
                <w:szCs w:val="20"/>
                <w:lang w:val="en-US" w:eastAsia="en-US" w:bidi="ar-SA"/>
              </w:rPr>
              <w:t xml:space="preserve"> </w:t>
            </w:r>
            <w:r>
              <w:rPr>
                <w:rFonts w:hint="default" w:ascii="Times New Roman" w:hAnsi="Times New Roman" w:cs="Times New Roman" w:eastAsiaTheme="minorEastAsia"/>
                <w:color w:val="auto"/>
                <w:kern w:val="2"/>
                <w:sz w:val="20"/>
                <w:szCs w:val="20"/>
                <w:lang w:val="en-US" w:eastAsia="zh-CN" w:bidi="ar-SA"/>
              </w:rPr>
              <w:t>bandwidth</w:t>
            </w:r>
            <w:r>
              <w:rPr>
                <w:rFonts w:hint="default" w:ascii="Times New Roman" w:hAnsi="Times New Roman" w:eastAsia="Times New Roman" w:cs="Times New Roman"/>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en-US" w:bidi="ar-SA"/>
              </w:rPr>
              <w:t xml:space="preserve">larger than </w:t>
            </w:r>
            <w:r>
              <w:rPr>
                <w:rFonts w:hint="default" w:ascii="Times New Roman" w:hAnsi="Times New Roman" w:cs="Times New Roman" w:eastAsiaTheme="minorEastAsia"/>
                <w:color w:val="auto"/>
                <w:kern w:val="2"/>
                <w:sz w:val="20"/>
                <w:szCs w:val="20"/>
                <w:lang w:val="en-US" w:eastAsia="zh-CN" w:bidi="ar-SA"/>
              </w:rPr>
              <w:t>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eastAsia="Times New Roman" w:cs="Times New Roman"/>
                <w:color w:val="auto"/>
                <w:kern w:val="2"/>
                <w:sz w:val="20"/>
                <w:szCs w:val="20"/>
                <w:lang w:val="en-US" w:eastAsia="zh-CN" w:bidi="ar-SA"/>
              </w:rPr>
              <w:t xml:space="preserve"> which is applicable to any spectrum allocations</w:t>
            </w:r>
            <w:r>
              <w:rPr>
                <w:rFonts w:hint="default" w:ascii="Times New Roman" w:hAnsi="Times New Roman" w:cs="Times New Roman" w:eastAsiaTheme="minorEastAsia"/>
                <w:color w:val="auto"/>
                <w:kern w:val="2"/>
                <w:sz w:val="20"/>
                <w:szCs w:val="20"/>
                <w:lang w:val="en-US" w:eastAsia="zh-CN" w:bidi="ar-SA"/>
              </w:rPr>
              <w:t xml:space="preserve"> with adjustment, if </w:t>
            </w:r>
            <w:r>
              <w:rPr>
                <w:rFonts w:hint="default" w:ascii="Times New Roman" w:hAnsi="Times New Roman" w:cs="Times New Roman" w:eastAsiaTheme="minorEastAsia"/>
                <w:kern w:val="2"/>
                <w:sz w:val="20"/>
                <w:szCs w:val="20"/>
                <w:lang w:val="en-US" w:eastAsia="zh-CN" w:bidi="ar-SA"/>
              </w:rPr>
              <w:t>applicable</w:t>
            </w:r>
          </w:p>
          <w:p>
            <w:pPr>
              <w:keepNext w:val="0"/>
              <w:keepLines w:val="0"/>
              <w:widowControl w:val="0"/>
              <w:numPr>
                <w:ilvl w:val="0"/>
                <w:numId w:val="5"/>
              </w:numPr>
              <w:suppressLineNumbers w:val="0"/>
              <w:overflowPunct w:val="0"/>
              <w:autoSpaceDE w:val="0"/>
              <w:autoSpaceDN w:val="0"/>
              <w:adjustRightInd w:val="0"/>
              <w:spacing w:beforeAutospacing="0" w:afterAutospacing="0"/>
              <w:ind w:left="440" w:leftChars="0" w:right="0" w:hanging="440"/>
              <w:jc w:val="both"/>
              <w:textAlignment w:val="baseline"/>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kern w:val="2"/>
                <w:sz w:val="20"/>
                <w:szCs w:val="20"/>
                <w:lang w:val="en-US" w:eastAsia="zh-CN" w:bidi="ar-SA"/>
              </w:rPr>
              <w:t>Opt</w:t>
            </w:r>
            <w:r>
              <w:rPr>
                <w:rFonts w:hint="default" w:ascii="Times New Roman" w:hAnsi="Times New Roman" w:eastAsia="Times New Roman" w:cs="Times New Roman"/>
                <w:kern w:val="2"/>
                <w:sz w:val="20"/>
                <w:szCs w:val="20"/>
                <w:lang w:val="en-US" w:eastAsia="en-US" w:bidi="ar-SA"/>
              </w:rPr>
              <w:t>2</w:t>
            </w:r>
            <w:r>
              <w:rPr>
                <w:rFonts w:hint="default" w:ascii="Times New Roman" w:hAnsi="Times New Roman" w:eastAsia="Times New Roman" w:cs="Times New Roman"/>
                <w:kern w:val="2"/>
                <w:sz w:val="20"/>
                <w:szCs w:val="20"/>
                <w:lang w:val="en-US" w:eastAsia="zh-CN" w:bidi="ar-SA"/>
              </w:rPr>
              <w:t>: A single design of the common signals/channels</w:t>
            </w:r>
            <w:r>
              <w:rPr>
                <w:rFonts w:hint="default" w:ascii="Times New Roman" w:hAnsi="Times New Roman" w:cs="Times New Roman" w:eastAsiaTheme="minorEastAsia"/>
                <w:kern w:val="2"/>
                <w:sz w:val="20"/>
                <w:szCs w:val="20"/>
                <w:lang w:val="en-US" w:eastAsia="zh-CN" w:bidi="ar-SA"/>
              </w:rPr>
              <w:t xml:space="preserve"> (at least for SSB)</w:t>
            </w:r>
            <w:r>
              <w:rPr>
                <w:rFonts w:hint="default" w:ascii="Times New Roman" w:hAnsi="Times New Roman" w:eastAsia="Times New Roman" w:cs="Times New Roman"/>
                <w:kern w:val="2"/>
                <w:sz w:val="20"/>
                <w:szCs w:val="20"/>
                <w:lang w:val="en-US" w:eastAsia="zh-CN" w:bidi="ar-SA"/>
              </w:rPr>
              <w:t xml:space="preserve"> for initial access by assuming minimum spectrum allocation as target bandwidth</w:t>
            </w:r>
            <w:r>
              <w:rPr>
                <w:rFonts w:hint="default" w:ascii="Times New Roman" w:hAnsi="Times New Roman" w:cs="Times New Roman" w:eastAsiaTheme="minorEastAsia"/>
                <w:kern w:val="2"/>
                <w:sz w:val="20"/>
                <w:szCs w:val="20"/>
                <w:lang w:val="en-US" w:eastAsia="zh-CN" w:bidi="ar-SA"/>
              </w:rPr>
              <w:t xml:space="preserve"> 3MHz</w:t>
            </w:r>
            <w:r>
              <w:rPr>
                <w:rFonts w:hint="default" w:ascii="Times New Roman" w:hAnsi="Times New Roman" w:eastAsia="Times New Roman" w:cs="Times New Roman"/>
                <w:kern w:val="2"/>
                <w:sz w:val="20"/>
                <w:szCs w:val="20"/>
                <w:lang w:val="en-US" w:eastAsia="en-US" w:bidi="ar-SA"/>
              </w:rPr>
              <w:t>,</w:t>
            </w:r>
            <w:r>
              <w:rPr>
                <w:rFonts w:hint="default" w:ascii="Times New Roman" w:hAnsi="Times New Roman" w:cs="Times New Roman" w:eastAsiaTheme="minorEastAsia"/>
                <w:kern w:val="2"/>
                <w:sz w:val="20"/>
                <w:szCs w:val="20"/>
                <w:lang w:val="en-US" w:eastAsia="zh-CN" w:bidi="ar-SA"/>
              </w:rPr>
              <w:t xml:space="preserve"> </w:t>
            </w:r>
            <w:r>
              <w:rPr>
                <w:rFonts w:hint="default" w:ascii="Times New Roman" w:hAnsi="Times New Roman" w:eastAsia="Times New Roman" w:cs="Times New Roman"/>
                <w:kern w:val="2"/>
                <w:sz w:val="20"/>
                <w:szCs w:val="20"/>
                <w:lang w:val="en-US" w:eastAsia="zh-CN" w:bidi="ar-SA"/>
              </w:rPr>
              <w:t>which is applicable to any spectrum allocations</w:t>
            </w:r>
          </w:p>
          <w:p>
            <w:pPr>
              <w:keepNext w:val="0"/>
              <w:keepLines w:val="0"/>
              <w:widowControl/>
              <w:suppressLineNumbers w:val="0"/>
              <w:overflowPunct w:val="0"/>
              <w:autoSpaceDE w:val="0"/>
              <w:autoSpaceDN w:val="0"/>
              <w:adjustRightInd w:val="0"/>
              <w:spacing w:beforeAutospacing="0" w:afterAutospacing="0"/>
              <w:ind w:left="0" w:right="0" w:firstLine="0"/>
              <w:textAlignment w:val="baseline"/>
              <w:rPr>
                <w:rFonts w:hint="default" w:ascii="Times New Roman" w:hAnsi="Times New Roman" w:eastAsia="Times New Roman" w:cs="Times New Roman"/>
                <w:kern w:val="2"/>
                <w:sz w:val="20"/>
                <w:szCs w:val="20"/>
                <w:highlight w:val="green"/>
                <w:lang w:val="en-US" w:eastAsia="zh-CN" w:bidi="ar-SA"/>
              </w:rPr>
            </w:pPr>
            <w:r>
              <w:rPr>
                <w:rFonts w:hint="default" w:ascii="Times New Roman" w:hAnsi="Times New Roman" w:eastAsia="Times New Roman" w:cs="Times New Roman"/>
                <w:kern w:val="2"/>
                <w:sz w:val="20"/>
                <w:szCs w:val="20"/>
                <w:highlight w:val="green"/>
                <w:lang w:val="en-US" w:eastAsia="zh-CN"/>
              </w:rPr>
              <w:t>Agreement@</w:t>
            </w:r>
            <w:r>
              <w:rPr>
                <w:rFonts w:hint="default" w:ascii="Times New Roman" w:hAnsi="Times New Roman" w:eastAsia="Times New Roman" w:cs="Times New Roman"/>
                <w:kern w:val="2"/>
                <w:sz w:val="20"/>
                <w:szCs w:val="20"/>
                <w:highlight w:val="green"/>
                <w:lang w:val="en-US" w:eastAsia="zh-CN" w:bidi="ar-SA"/>
              </w:rPr>
              <w:t>RAN#110</w:t>
            </w:r>
          </w:p>
          <w:p>
            <w:pPr>
              <w:keepNext w:val="0"/>
              <w:keepLines w:val="0"/>
              <w:widowControl/>
              <w:numPr>
                <w:ilvl w:val="0"/>
                <w:numId w:val="6"/>
              </w:numPr>
              <w:suppressLineNumbers w:val="0"/>
              <w:overflowPunct w:val="0"/>
              <w:autoSpaceDE w:val="0"/>
              <w:autoSpaceDN w:val="0"/>
              <w:adjustRightInd w:val="0"/>
              <w:spacing w:beforeAutospacing="0" w:after="0" w:afterAutospacing="0" w:line="252" w:lineRule="auto"/>
              <w:ind w:left="420" w:right="0" w:hanging="420"/>
              <w:contextualSpacing/>
              <w:jc w:val="both"/>
              <w:textAlignment w:val="baseline"/>
              <w:rPr>
                <w:rFonts w:hint="eastAsia" w:ascii="Times New Roman" w:hAnsi="Times New Roman" w:eastAsia="Batang" w:cs="Times New Roman"/>
                <w:kern w:val="0"/>
                <w:sz w:val="20"/>
                <w:szCs w:val="20"/>
                <w:highlight w:val="none"/>
                <w:lang w:val="en-US" w:eastAsia="zh-CN" w:bidi="ar-SA"/>
                <w14:ligatures w14:val="none"/>
              </w:rPr>
            </w:pPr>
            <w:r>
              <w:rPr>
                <w:rFonts w:hint="eastAsia" w:ascii="Times New Roman" w:hAnsi="Times New Roman" w:eastAsia="Batang" w:cs="Times New Roman"/>
                <w:kern w:val="0"/>
                <w:sz w:val="20"/>
                <w:szCs w:val="20"/>
                <w:highlight w:val="none"/>
                <w:lang w:val="en-US" w:eastAsia="zh-CN" w:bidi="ar-SA"/>
                <w14:ligatures w14:val="none"/>
              </w:rPr>
              <w:t>6GR supports the operation (but not required to be optimized for performance) in a minimum spectrum allocation of 3MHz with a 15kHz SCS</w:t>
            </w:r>
          </w:p>
          <w:p>
            <w:pPr>
              <w:keepNext w:val="0"/>
              <w:keepLines w:val="0"/>
              <w:widowControl/>
              <w:numPr>
                <w:ilvl w:val="0"/>
                <w:numId w:val="6"/>
              </w:numPr>
              <w:suppressLineNumbers w:val="0"/>
              <w:overflowPunct w:val="0"/>
              <w:autoSpaceDE w:val="0"/>
              <w:autoSpaceDN w:val="0"/>
              <w:adjustRightInd w:val="0"/>
              <w:spacing w:before="0" w:beforeAutospacing="0" w:after="0" w:afterAutospacing="0" w:line="252" w:lineRule="auto"/>
              <w:ind w:left="420" w:right="0" w:hanging="420"/>
              <w:jc w:val="both"/>
              <w:textAlignment w:val="baseline"/>
              <w:rPr>
                <w:rFonts w:hint="eastAsia" w:ascii="Times New Roman" w:hAnsi="Times New Roman" w:eastAsia="Batang" w:cs="Times New Roman"/>
                <w:kern w:val="0"/>
                <w:sz w:val="20"/>
                <w:szCs w:val="20"/>
                <w:highlight w:val="none"/>
                <w:lang w:val="en-US" w:eastAsia="zh-CN"/>
                <w14:ligatures w14:val="none"/>
              </w:rPr>
            </w:pPr>
            <w:r>
              <w:rPr>
                <w:rFonts w:hint="eastAsia" w:ascii="Times New Roman" w:hAnsi="Times New Roman" w:eastAsia="Batang" w:cs="Times New Roman"/>
                <w:kern w:val="0"/>
                <w:sz w:val="20"/>
                <w:szCs w:val="20"/>
                <w:highlight w:val="none"/>
                <w:lang w:val="en-US" w:eastAsia="zh-CN"/>
                <w14:ligatures w14:val="none"/>
              </w:rPr>
              <w:t xml:space="preserve">Note: the following agreement made in RAN1#123 still holds, with the clarification that the bandwidth in Opt 1 below is assumed to be at least 5MHz with a 15kHz SCS. </w:t>
            </w:r>
          </w:p>
          <w:p>
            <w:pPr>
              <w:keepNext w:val="0"/>
              <w:keepLines w:val="0"/>
              <w:widowControl/>
              <w:suppressLineNumbers w:val="0"/>
              <w:overflowPunct w:val="0"/>
              <w:autoSpaceDE w:val="0"/>
              <w:autoSpaceDN w:val="0"/>
              <w:adjustRightInd w:val="0"/>
              <w:spacing w:before="0" w:beforeAutospacing="0" w:after="0" w:afterAutospacing="0" w:line="240" w:lineRule="auto"/>
              <w:ind w:left="936" w:right="0" w:firstLine="0"/>
              <w:textAlignment w:val="baseline"/>
              <w:rPr>
                <w:rFonts w:hint="eastAsia" w:ascii="Times New Roman" w:hAnsi="Times New Roman" w:eastAsia="Times New Roman" w:cs="Times New Roman"/>
                <w:i/>
                <w:iCs/>
                <w:kern w:val="0"/>
                <w:sz w:val="20"/>
                <w:szCs w:val="20"/>
                <w:highlight w:val="none"/>
                <w:lang w:val="en-US" w:eastAsia="zh-CN"/>
                <w14:ligatures w14:val="none"/>
              </w:rPr>
            </w:pPr>
            <w:r>
              <w:rPr>
                <w:rFonts w:hint="eastAsia" w:ascii="Times New Roman" w:hAnsi="Times New Roman" w:eastAsia="Times New Roman" w:cs="Times New Roman"/>
                <w:i/>
                <w:iCs/>
                <w:kern w:val="0"/>
                <w:sz w:val="20"/>
                <w:szCs w:val="20"/>
                <w:highlight w:val="none"/>
                <w:lang w:val="en-US" w:eastAsia="zh-CN"/>
                <w14:ligatures w14:val="none"/>
              </w:rPr>
              <w:t>Agreement</w:t>
            </w:r>
          </w:p>
          <w:p>
            <w:pPr>
              <w:keepNext w:val="0"/>
              <w:keepLines w:val="0"/>
              <w:widowControl/>
              <w:suppressLineNumbers w:val="0"/>
              <w:overflowPunct w:val="0"/>
              <w:autoSpaceDE w:val="0"/>
              <w:autoSpaceDN w:val="0"/>
              <w:adjustRightInd w:val="0"/>
              <w:spacing w:before="0" w:beforeAutospacing="0" w:after="0" w:afterAutospacing="0" w:line="240" w:lineRule="auto"/>
              <w:ind w:left="936" w:right="0" w:firstLine="0"/>
              <w:textAlignment w:val="baseline"/>
              <w:rPr>
                <w:rFonts w:hint="eastAsia" w:ascii="Times New Roman" w:hAnsi="Times New Roman" w:eastAsia="等线" w:cs="Times New Roman"/>
                <w:i/>
                <w:iCs/>
                <w:kern w:val="0"/>
                <w:sz w:val="20"/>
                <w:szCs w:val="20"/>
                <w:highlight w:val="none"/>
                <w:lang w:val="en-US" w:eastAsia="zh-CN"/>
                <w14:ligatures w14:val="none"/>
              </w:rPr>
            </w:pPr>
            <w:r>
              <w:rPr>
                <w:rFonts w:hint="eastAsia" w:ascii="Times New Roman" w:hAnsi="Times New Roman" w:eastAsia="等线" w:cs="Times New Roman"/>
                <w:i/>
                <w:iCs/>
                <w:kern w:val="0"/>
                <w:sz w:val="20"/>
                <w:szCs w:val="20"/>
                <w:highlight w:val="none"/>
                <w:lang w:val="en-US" w:eastAsia="zh-CN"/>
                <w14:ligatures w14:val="none"/>
              </w:rPr>
              <w:t>If the minimum</w:t>
            </w:r>
            <w:r>
              <w:rPr>
                <w:rFonts w:hint="eastAsia" w:ascii="Times New Roman" w:hAnsi="Times New Roman" w:eastAsia="Times New Roman" w:cs="Times New Roman"/>
                <w:i/>
                <w:iCs/>
                <w:kern w:val="0"/>
                <w:sz w:val="20"/>
                <w:szCs w:val="20"/>
                <w:highlight w:val="none"/>
                <w:lang w:val="en-US" w:eastAsia="zh-CN"/>
                <w14:ligatures w14:val="none"/>
              </w:rPr>
              <w:t xml:space="preserve"> spectrum allocation</w:t>
            </w:r>
            <w:r>
              <w:rPr>
                <w:rFonts w:hint="eastAsia" w:ascii="Times New Roman" w:hAnsi="Times New Roman" w:eastAsia="等线" w:cs="Times New Roman"/>
                <w:i/>
                <w:iCs/>
                <w:kern w:val="0"/>
                <w:sz w:val="20"/>
                <w:szCs w:val="20"/>
                <w:highlight w:val="none"/>
                <w:lang w:val="en-US" w:eastAsia="zh-CN"/>
                <w14:ligatures w14:val="none"/>
              </w:rPr>
              <w:t xml:space="preserve"> is 3MHz with 15kHz SCS for 6GR,</w:t>
            </w:r>
          </w:p>
          <w:p>
            <w:pPr>
              <w:keepNext w:val="0"/>
              <w:keepLines w:val="0"/>
              <w:widowControl/>
              <w:numPr>
                <w:ilvl w:val="0"/>
                <w:numId w:val="5"/>
              </w:numPr>
              <w:suppressLineNumbers w:val="0"/>
              <w:overflowPunct w:val="0"/>
              <w:autoSpaceDE w:val="0"/>
              <w:autoSpaceDN w:val="0"/>
              <w:adjustRightInd w:val="0"/>
              <w:spacing w:beforeAutospacing="0" w:after="0" w:afterAutospacing="0" w:line="240" w:lineRule="auto"/>
              <w:ind w:left="1376" w:right="0"/>
              <w:contextualSpacing w:val="0"/>
              <w:textAlignment w:val="baseline"/>
              <w:rPr>
                <w:rFonts w:hint="eastAsia" w:ascii="Times New Roman" w:hAnsi="Times New Roman" w:eastAsia="Times New Roman" w:cs="Times New Roman"/>
                <w:i/>
                <w:iCs/>
                <w:kern w:val="0"/>
                <w:sz w:val="20"/>
                <w:szCs w:val="20"/>
                <w:highlight w:val="none"/>
                <w:lang w:val="en-US" w:eastAsia="zh-CN" w:bidi="ar-SA"/>
                <w14:ligatures w14:val="none"/>
              </w:rPr>
            </w:pPr>
            <w:r>
              <w:rPr>
                <w:rFonts w:hint="eastAsia" w:ascii="Times New Roman" w:hAnsi="Times New Roman" w:eastAsia="Times New Roman" w:cs="Times New Roman"/>
                <w:i/>
                <w:iCs/>
                <w:kern w:val="0"/>
                <w:sz w:val="20"/>
                <w:szCs w:val="20"/>
                <w:highlight w:val="none"/>
                <w:lang w:val="en-US" w:eastAsia="zh-CN" w:bidi="ar-SA"/>
                <w14:ligatures w14:val="none"/>
              </w:rPr>
              <w:t>Opt1: Design of the common signals/channels</w:t>
            </w:r>
            <w:r>
              <w:rPr>
                <w:rFonts w:hint="eastAsia" w:ascii="Times New Roman" w:hAnsi="Times New Roman" w:eastAsia="等线" w:cs="Times New Roman"/>
                <w:i/>
                <w:iCs/>
                <w:kern w:val="0"/>
                <w:sz w:val="20"/>
                <w:szCs w:val="20"/>
                <w:highlight w:val="none"/>
                <w:lang w:val="en-US" w:eastAsia="zh-CN" w:bidi="ar-SA"/>
                <w14:ligatures w14:val="none"/>
              </w:rPr>
              <w:t xml:space="preserve"> (at least for SSB)</w:t>
            </w:r>
            <w:r>
              <w:rPr>
                <w:rFonts w:hint="eastAsia" w:ascii="Times New Roman" w:hAnsi="Times New Roman" w:eastAsia="Times New Roman" w:cs="Times New Roman"/>
                <w:i/>
                <w:iCs/>
                <w:kern w:val="0"/>
                <w:sz w:val="20"/>
                <w:szCs w:val="20"/>
                <w:highlight w:val="none"/>
                <w:lang w:val="en-US" w:eastAsia="zh-CN" w:bidi="ar-SA"/>
                <w14:ligatures w14:val="none"/>
              </w:rPr>
              <w:t xml:space="preserve"> for initial access by assuming </w:t>
            </w:r>
            <w:r>
              <w:rPr>
                <w:rFonts w:hint="eastAsia" w:ascii="Times New Roman" w:hAnsi="Times New Roman" w:eastAsia="等线" w:cs="Times New Roman"/>
                <w:i/>
                <w:iCs/>
                <w:kern w:val="0"/>
                <w:sz w:val="20"/>
                <w:szCs w:val="20"/>
                <w:highlight w:val="none"/>
                <w:lang w:val="en-US" w:eastAsia="zh-CN" w:bidi="ar-SA"/>
                <w14:ligatures w14:val="none"/>
              </w:rPr>
              <w:t>bandwidth</w:t>
            </w:r>
            <w:r>
              <w:rPr>
                <w:rFonts w:hint="eastAsia" w:ascii="Times New Roman" w:hAnsi="Times New Roman" w:eastAsia="Times New Roman" w:cs="Times New Roman"/>
                <w:i/>
                <w:iCs/>
                <w:kern w:val="0"/>
                <w:sz w:val="20"/>
                <w:szCs w:val="20"/>
                <w:highlight w:val="none"/>
                <w:lang w:val="en-US" w:eastAsia="zh-CN" w:bidi="ar-SA"/>
                <w14:ligatures w14:val="none"/>
              </w:rPr>
              <w:t xml:space="preserve"> larger than </w:t>
            </w:r>
            <w:r>
              <w:rPr>
                <w:rFonts w:hint="eastAsia" w:ascii="Times New Roman" w:hAnsi="Times New Roman" w:eastAsia="等线" w:cs="Times New Roman"/>
                <w:i/>
                <w:iCs/>
                <w:kern w:val="0"/>
                <w:sz w:val="20"/>
                <w:szCs w:val="20"/>
                <w:highlight w:val="none"/>
                <w:lang w:val="en-US" w:eastAsia="zh-CN" w:bidi="ar-SA"/>
                <w14:ligatures w14:val="none"/>
              </w:rPr>
              <w:t>3MHz</w:t>
            </w:r>
            <w:r>
              <w:rPr>
                <w:rFonts w:hint="eastAsia" w:ascii="Times New Roman" w:hAnsi="Times New Roman" w:eastAsia="Times New Roman" w:cs="Times New Roman"/>
                <w:i/>
                <w:iCs/>
                <w:kern w:val="0"/>
                <w:sz w:val="20"/>
                <w:szCs w:val="20"/>
                <w:highlight w:val="none"/>
                <w:lang w:val="en-US" w:eastAsia="zh-CN" w:bidi="ar-SA"/>
                <w14:ligatures w14:val="none"/>
              </w:rPr>
              <w:t>, which is applicable to any spectrum allocations</w:t>
            </w:r>
            <w:r>
              <w:rPr>
                <w:rFonts w:hint="eastAsia" w:ascii="Times New Roman" w:hAnsi="Times New Roman" w:eastAsia="等线" w:cs="Times New Roman"/>
                <w:i/>
                <w:iCs/>
                <w:kern w:val="0"/>
                <w:sz w:val="20"/>
                <w:szCs w:val="20"/>
                <w:highlight w:val="none"/>
                <w:lang w:val="en-US" w:eastAsia="zh-CN" w:bidi="ar-SA"/>
                <w14:ligatures w14:val="none"/>
              </w:rPr>
              <w:t xml:space="preserve"> with adjustment, if applicable</w:t>
            </w:r>
          </w:p>
          <w:p>
            <w:pPr>
              <w:keepNext w:val="0"/>
              <w:keepLines w:val="0"/>
              <w:widowControl/>
              <w:numPr>
                <w:ilvl w:val="0"/>
                <w:numId w:val="5"/>
              </w:numPr>
              <w:suppressLineNumbers w:val="0"/>
              <w:overflowPunct w:val="0"/>
              <w:autoSpaceDE w:val="0"/>
              <w:autoSpaceDN w:val="0"/>
              <w:adjustRightInd w:val="0"/>
              <w:spacing w:beforeAutospacing="0" w:after="0" w:afterAutospacing="0" w:line="240" w:lineRule="auto"/>
              <w:ind w:left="1376" w:right="0"/>
              <w:contextualSpacing w:val="0"/>
              <w:textAlignment w:val="baseline"/>
              <w:rPr>
                <w:rFonts w:hint="eastAsia" w:ascii="Times New Roman" w:hAnsi="Times New Roman" w:eastAsia="Times New Roman" w:cs="Times New Roman"/>
                <w:i/>
                <w:iCs/>
                <w:kern w:val="0"/>
                <w:sz w:val="20"/>
                <w:szCs w:val="20"/>
                <w:highlight w:val="none"/>
                <w:lang w:val="en-US" w:eastAsia="zh-CN" w:bidi="ar-SA"/>
                <w14:ligatures w14:val="none"/>
              </w:rPr>
            </w:pPr>
            <w:r>
              <w:rPr>
                <w:rFonts w:hint="eastAsia" w:ascii="Times New Roman" w:hAnsi="Times New Roman" w:eastAsia="Times New Roman" w:cs="Times New Roman"/>
                <w:i/>
                <w:iCs/>
                <w:kern w:val="0"/>
                <w:sz w:val="20"/>
                <w:szCs w:val="20"/>
                <w:highlight w:val="none"/>
                <w:lang w:val="en-US" w:eastAsia="zh-CN" w:bidi="ar-SA"/>
                <w14:ligatures w14:val="none"/>
              </w:rPr>
              <w:t>Opt2: A single design of the common signals/channels</w:t>
            </w:r>
            <w:r>
              <w:rPr>
                <w:rFonts w:hint="eastAsia" w:ascii="Times New Roman" w:hAnsi="Times New Roman" w:eastAsia="等线" w:cs="Times New Roman"/>
                <w:i/>
                <w:iCs/>
                <w:kern w:val="0"/>
                <w:sz w:val="20"/>
                <w:szCs w:val="20"/>
                <w:highlight w:val="none"/>
                <w:lang w:val="en-US" w:eastAsia="zh-CN" w:bidi="ar-SA"/>
                <w14:ligatures w14:val="none"/>
              </w:rPr>
              <w:t xml:space="preserve"> (at least for SSB)</w:t>
            </w:r>
            <w:r>
              <w:rPr>
                <w:rFonts w:hint="eastAsia" w:ascii="Times New Roman" w:hAnsi="Times New Roman" w:eastAsia="Times New Roman" w:cs="Times New Roman"/>
                <w:i/>
                <w:iCs/>
                <w:kern w:val="0"/>
                <w:sz w:val="20"/>
                <w:szCs w:val="20"/>
                <w:highlight w:val="none"/>
                <w:lang w:val="en-US" w:eastAsia="zh-CN" w:bidi="ar-SA"/>
                <w14:ligatures w14:val="none"/>
              </w:rPr>
              <w:t xml:space="preserve"> for initial access by assuming minimum spectrum allocation as target bandwidth</w:t>
            </w:r>
            <w:r>
              <w:rPr>
                <w:rFonts w:hint="eastAsia" w:ascii="Times New Roman" w:hAnsi="Times New Roman" w:eastAsia="等线" w:cs="Times New Roman"/>
                <w:i/>
                <w:iCs/>
                <w:kern w:val="0"/>
                <w:sz w:val="20"/>
                <w:szCs w:val="20"/>
                <w:highlight w:val="none"/>
                <w:lang w:val="en-US" w:eastAsia="zh-CN" w:bidi="ar-SA"/>
                <w14:ligatures w14:val="none"/>
              </w:rPr>
              <w:t xml:space="preserve"> 3MHz</w:t>
            </w:r>
            <w:r>
              <w:rPr>
                <w:rFonts w:hint="eastAsia" w:ascii="Times New Roman" w:hAnsi="Times New Roman" w:eastAsia="Times New Roman" w:cs="Times New Roman"/>
                <w:i/>
                <w:iCs/>
                <w:kern w:val="0"/>
                <w:sz w:val="20"/>
                <w:szCs w:val="20"/>
                <w:highlight w:val="none"/>
                <w:lang w:val="en-US" w:eastAsia="zh-CN" w:bidi="ar-SA"/>
                <w14:ligatures w14:val="none"/>
              </w:rPr>
              <w:t>,</w:t>
            </w:r>
            <w:r>
              <w:rPr>
                <w:rFonts w:hint="eastAsia" w:ascii="Times New Roman" w:hAnsi="Times New Roman" w:eastAsia="等线" w:cs="Times New Roman"/>
                <w:i/>
                <w:iCs/>
                <w:kern w:val="0"/>
                <w:sz w:val="20"/>
                <w:szCs w:val="20"/>
                <w:highlight w:val="none"/>
                <w:lang w:val="en-US" w:eastAsia="zh-CN" w:bidi="ar-SA"/>
                <w14:ligatures w14:val="none"/>
              </w:rPr>
              <w:t xml:space="preserve"> </w:t>
            </w:r>
            <w:r>
              <w:rPr>
                <w:rFonts w:hint="eastAsia" w:ascii="Times New Roman" w:hAnsi="Times New Roman" w:eastAsia="Times New Roman" w:cs="Times New Roman"/>
                <w:i/>
                <w:iCs/>
                <w:kern w:val="0"/>
                <w:sz w:val="20"/>
                <w:szCs w:val="20"/>
                <w:highlight w:val="none"/>
                <w:lang w:val="en-US" w:eastAsia="zh-CN" w:bidi="ar-SA"/>
                <w14:ligatures w14:val="none"/>
              </w:rPr>
              <w:t>which is applicable to any spectrum allocations</w:t>
            </w:r>
          </w:p>
          <w:p>
            <w:pPr>
              <w:keepNext w:val="0"/>
              <w:keepLines w:val="0"/>
              <w:widowControl/>
              <w:suppressLineNumbers w:val="0"/>
              <w:overflowPunct w:val="0"/>
              <w:autoSpaceDE w:val="0"/>
              <w:autoSpaceDN w:val="0"/>
              <w:adjustRightInd w:val="0"/>
              <w:spacing w:before="0" w:beforeAutospacing="0" w:after="0" w:afterAutospacing="0" w:line="252" w:lineRule="auto"/>
              <w:ind w:left="936" w:right="0" w:firstLine="0"/>
              <w:jc w:val="both"/>
              <w:textAlignment w:val="baseline"/>
              <w:rPr>
                <w:rFonts w:hint="eastAsia" w:ascii="Times New Roman" w:hAnsi="Times New Roman" w:eastAsia="Batang" w:cs="Times New Roman"/>
                <w:kern w:val="0"/>
                <w:sz w:val="20"/>
                <w:szCs w:val="20"/>
                <w:highlight w:val="none"/>
                <w:lang w:val="en-US" w:eastAsia="zh-CN"/>
                <w14:ligatures w14:val="none"/>
              </w:rPr>
            </w:pPr>
          </w:p>
          <w:p>
            <w:pPr>
              <w:keepNext w:val="0"/>
              <w:keepLines w:val="0"/>
              <w:widowControl/>
              <w:numPr>
                <w:ilvl w:val="0"/>
                <w:numId w:val="7"/>
              </w:numPr>
              <w:suppressLineNumbers w:val="0"/>
              <w:overflowPunct w:val="0"/>
              <w:autoSpaceDE w:val="0"/>
              <w:autoSpaceDN w:val="0"/>
              <w:adjustRightInd w:val="0"/>
              <w:spacing w:beforeAutospacing="0" w:after="0" w:afterAutospacing="0" w:line="252" w:lineRule="auto"/>
              <w:ind w:left="420" w:right="0" w:hanging="420"/>
              <w:contextualSpacing/>
              <w:jc w:val="both"/>
              <w:textAlignment w:val="baseline"/>
              <w:rPr>
                <w:rFonts w:hint="eastAsia" w:ascii="Times New Roman" w:hAnsi="Times New Roman" w:eastAsia="Batang" w:cs="Times New Roman"/>
                <w:kern w:val="0"/>
                <w:sz w:val="20"/>
                <w:szCs w:val="20"/>
                <w:highlight w:val="none"/>
                <w:lang w:val="en-US" w:eastAsia="zh-CN" w:bidi="ar-SA"/>
                <w14:ligatures w14:val="none"/>
              </w:rPr>
            </w:pPr>
            <w:r>
              <w:rPr>
                <w:rFonts w:hint="eastAsia" w:ascii="Times New Roman" w:hAnsi="Times New Roman" w:eastAsia="Batang" w:cs="Times New Roman"/>
                <w:kern w:val="0"/>
                <w:sz w:val="20"/>
                <w:szCs w:val="20"/>
                <w:highlight w:val="none"/>
                <w:lang w:val="en-US" w:eastAsia="zh-CN" w:bidi="ar-SA"/>
                <w14:ligatures w14:val="none"/>
              </w:rPr>
              <w:t xml:space="preserve">Regarding the smallest maximum UE bandwidth as discussed in the following RAN1 agreement, </w:t>
            </w:r>
            <w:r>
              <w:rPr>
                <w:rFonts w:hint="eastAsia" w:ascii="Times New Roman" w:hAnsi="Times New Roman" w:eastAsia="Batang" w:cs="Times New Roman"/>
                <w:b/>
                <w:bCs/>
                <w:kern w:val="0"/>
                <w:sz w:val="20"/>
                <w:szCs w:val="20"/>
                <w:highlight w:val="none"/>
                <w:lang w:val="en-US" w:eastAsia="zh-CN" w:bidi="ar-SA"/>
                <w14:ligatures w14:val="none"/>
              </w:rPr>
              <w:t>Opt 1 is excluded.</w:t>
            </w:r>
            <w:r>
              <w:rPr>
                <w:rFonts w:hint="eastAsia" w:ascii="Times New Roman" w:hAnsi="Times New Roman" w:eastAsia="Batang" w:cs="Times New Roman"/>
                <w:kern w:val="0"/>
                <w:sz w:val="20"/>
                <w:szCs w:val="20"/>
                <w:highlight w:val="none"/>
                <w:lang w:val="en-US" w:eastAsia="zh-CN" w:bidi="ar-SA"/>
                <w14:ligatures w14:val="none"/>
              </w:rPr>
              <w:t xml:space="preserve"> Aim to conclude by RAN plenary no later than RAN#112 (June 2026). </w:t>
            </w:r>
          </w:p>
          <w:p>
            <w:pPr>
              <w:keepNext w:val="0"/>
              <w:keepLines w:val="0"/>
              <w:widowControl/>
              <w:numPr>
                <w:ilvl w:val="0"/>
                <w:numId w:val="8"/>
              </w:numPr>
              <w:suppressLineNumbers w:val="0"/>
              <w:overflowPunct w:val="0"/>
              <w:autoSpaceDE w:val="0"/>
              <w:autoSpaceDN w:val="0"/>
              <w:adjustRightInd w:val="0"/>
              <w:spacing w:beforeAutospacing="0" w:after="0" w:afterAutospacing="0" w:line="252" w:lineRule="auto"/>
              <w:ind w:left="936" w:right="0" w:hanging="360"/>
              <w:contextualSpacing/>
              <w:jc w:val="both"/>
              <w:textAlignment w:val="baseline"/>
              <w:rPr>
                <w:rFonts w:hint="eastAsia" w:ascii="Times New Roman" w:hAnsi="Times New Roman" w:eastAsia="Batang" w:cs="Times New Roman"/>
                <w:kern w:val="0"/>
                <w:sz w:val="20"/>
                <w:szCs w:val="20"/>
                <w:highlight w:val="none"/>
                <w:lang w:val="en-US" w:eastAsia="zh-CN" w:bidi="ar-SA"/>
                <w14:ligatures w14:val="none"/>
              </w:rPr>
            </w:pPr>
            <w:r>
              <w:rPr>
                <w:rFonts w:hint="eastAsia" w:ascii="Times New Roman" w:hAnsi="Times New Roman" w:eastAsia="Batang" w:cs="Times New Roman"/>
                <w:kern w:val="0"/>
                <w:sz w:val="20"/>
                <w:szCs w:val="20"/>
                <w:highlight w:val="none"/>
                <w:lang w:val="en-US" w:eastAsia="zh-CN" w:bidi="ar-SA"/>
                <w14:ligatures w14:val="none"/>
              </w:rPr>
              <w:t>RAN1 and RAN4 is tasked to continue providing more analysis accordingly.</w:t>
            </w:r>
          </w:p>
          <w:p>
            <w:pPr>
              <w:keepNext w:val="0"/>
              <w:keepLines w:val="0"/>
              <w:widowControl/>
              <w:numPr>
                <w:ilvl w:val="0"/>
                <w:numId w:val="8"/>
              </w:numPr>
              <w:suppressLineNumbers w:val="0"/>
              <w:overflowPunct w:val="0"/>
              <w:autoSpaceDE w:val="0"/>
              <w:autoSpaceDN w:val="0"/>
              <w:adjustRightInd w:val="0"/>
              <w:spacing w:beforeAutospacing="0" w:after="0" w:afterAutospacing="0" w:line="252" w:lineRule="auto"/>
              <w:ind w:left="936" w:right="0" w:hanging="360"/>
              <w:contextualSpacing/>
              <w:jc w:val="both"/>
              <w:textAlignment w:val="baseline"/>
              <w:rPr>
                <w:rFonts w:hint="eastAsia" w:ascii="Times New Roman" w:hAnsi="Times New Roman" w:eastAsia="Batang" w:cs="Times New Roman"/>
                <w:kern w:val="0"/>
                <w:sz w:val="20"/>
                <w:szCs w:val="20"/>
                <w:highlight w:val="none"/>
                <w:lang w:val="en-US" w:eastAsia="zh-CN" w:bidi="ar-SA"/>
                <w14:ligatures w14:val="none"/>
              </w:rPr>
            </w:pPr>
            <w:r>
              <w:rPr>
                <w:rFonts w:hint="eastAsia" w:ascii="Times New Roman" w:hAnsi="Times New Roman" w:eastAsia="Batang" w:cs="Times New Roman"/>
                <w:kern w:val="0"/>
                <w:sz w:val="20"/>
                <w:szCs w:val="20"/>
                <w:highlight w:val="none"/>
                <w:lang w:val="en-US" w:eastAsia="zh-CN" w:bidi="ar-SA"/>
                <w14:ligatures w14:val="none"/>
              </w:rPr>
              <w:t>Companies are encouraged to provide more analysis at RAN plenary particularly regarding the use cases, requirements, economy of scale, etc.</w:t>
            </w:r>
          </w:p>
          <w:p>
            <w:pPr>
              <w:keepNext w:val="0"/>
              <w:keepLines w:val="0"/>
              <w:widowControl/>
              <w:suppressLineNumbers w:val="0"/>
              <w:overflowPunct w:val="0"/>
              <w:autoSpaceDE w:val="0"/>
              <w:autoSpaceDN w:val="0"/>
              <w:adjustRightInd w:val="0"/>
              <w:spacing w:before="0" w:beforeAutospacing="0" w:after="0" w:afterAutospacing="0" w:line="240" w:lineRule="auto"/>
              <w:ind w:left="0" w:leftChars="0" w:right="0" w:firstLine="400" w:firstLineChars="200"/>
              <w:textAlignment w:val="baseline"/>
              <w:rPr>
                <w:rFonts w:hint="eastAsia" w:ascii="Times New Roman" w:hAnsi="Times New Roman" w:eastAsia="等线" w:cs="Times New Roman"/>
                <w:i/>
                <w:iCs/>
                <w:kern w:val="0"/>
                <w:sz w:val="20"/>
                <w:szCs w:val="20"/>
                <w:highlight w:val="none"/>
                <w:lang w:val="en-US" w:eastAsia="zh-CN"/>
                <w14:ligatures w14:val="none"/>
              </w:rPr>
            </w:pPr>
            <w:r>
              <w:rPr>
                <w:rFonts w:hint="eastAsia" w:ascii="Times New Roman" w:hAnsi="Times New Roman" w:eastAsia="等线" w:cs="Times New Roman"/>
                <w:i/>
                <w:iCs/>
                <w:kern w:val="0"/>
                <w:sz w:val="20"/>
                <w:szCs w:val="20"/>
                <w:highlight w:val="none"/>
                <w:lang w:val="en-US" w:eastAsia="zh-CN"/>
                <w14:ligatures w14:val="none"/>
              </w:rPr>
              <w:t>Agreement</w:t>
            </w:r>
          </w:p>
          <w:p>
            <w:pPr>
              <w:keepNext w:val="0"/>
              <w:keepLines w:val="0"/>
              <w:widowControl/>
              <w:numPr>
                <w:ilvl w:val="0"/>
                <w:numId w:val="9"/>
              </w:numPr>
              <w:suppressLineNumbers w:val="0"/>
              <w:overflowPunct w:val="0"/>
              <w:autoSpaceDE w:val="0"/>
              <w:autoSpaceDN w:val="0"/>
              <w:adjustRightInd w:val="0"/>
              <w:spacing w:before="0" w:beforeAutospacing="0" w:after="0" w:afterAutospacing="0" w:line="252" w:lineRule="auto"/>
              <w:ind w:left="840" w:leftChars="0" w:right="0" w:hanging="420"/>
              <w:contextualSpacing/>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Study</w:t>
            </w:r>
            <w:r>
              <w:rPr>
                <w:rFonts w:hint="eastAsia" w:ascii="Times New Roman" w:hAnsi="Times New Roman" w:eastAsia="等线" w:cs="Times New Roman"/>
                <w:i/>
                <w:iCs/>
                <w:kern w:val="0"/>
                <w:sz w:val="20"/>
                <w:szCs w:val="20"/>
                <w:highlight w:val="none"/>
                <w:lang w:val="en-US" w:eastAsia="zh-CN"/>
                <w14:ligatures w14:val="none"/>
              </w:rPr>
              <w:t xml:space="preserve"> </w:t>
            </w:r>
            <w:r>
              <w:rPr>
                <w:rFonts w:hint="eastAsia" w:ascii="Times New Roman" w:hAnsi="Times New Roman" w:eastAsia="Yu Mincho" w:cs="Times New Roman"/>
                <w:i/>
                <w:iCs/>
                <w:kern w:val="0"/>
                <w:sz w:val="20"/>
                <w:szCs w:val="20"/>
                <w:highlight w:val="none"/>
                <w:lang w:val="en-US" w:eastAsia="ja-JP"/>
                <w14:ligatures w14:val="none"/>
              </w:rPr>
              <w:t xml:space="preserve">the following smallest maximum </w:t>
            </w:r>
            <w:r>
              <w:rPr>
                <w:rFonts w:hint="eastAsia" w:ascii="Times New Roman" w:hAnsi="Times New Roman" w:eastAsia="Batang" w:cs="Times New Roman"/>
                <w:i/>
                <w:iCs/>
                <w:kern w:val="0"/>
                <w:sz w:val="20"/>
                <w:szCs w:val="20"/>
                <w:highlight w:val="none"/>
                <w:lang w:val="en-US" w:eastAsia="zh-CN"/>
                <w14:ligatures w14:val="none"/>
              </w:rPr>
              <w:t xml:space="preserve">supported </w:t>
            </w:r>
            <w:r>
              <w:rPr>
                <w:rFonts w:hint="eastAsia" w:ascii="Times New Roman" w:hAnsi="Times New Roman" w:eastAsia="Yu Mincho" w:cs="Times New Roman"/>
                <w:i/>
                <w:iCs/>
                <w:kern w:val="0"/>
                <w:sz w:val="20"/>
                <w:szCs w:val="20"/>
                <w:highlight w:val="none"/>
                <w:lang w:val="en-US" w:eastAsia="ja-JP"/>
                <w14:ligatures w14:val="none"/>
              </w:rPr>
              <w:t xml:space="preserve">RF and BB </w:t>
            </w:r>
            <w:r>
              <w:rPr>
                <w:rFonts w:hint="eastAsia" w:ascii="Times New Roman" w:hAnsi="Times New Roman" w:eastAsia="Batang" w:cs="Times New Roman"/>
                <w:i/>
                <w:iCs/>
                <w:kern w:val="0"/>
                <w:sz w:val="20"/>
                <w:szCs w:val="20"/>
                <w:highlight w:val="none"/>
                <w:lang w:val="en-US" w:eastAsia="zh-CN"/>
                <w14:ligatures w14:val="none"/>
              </w:rPr>
              <w:t>UE BW</w:t>
            </w:r>
            <w:r>
              <w:rPr>
                <w:rFonts w:hint="eastAsia" w:ascii="Times New Roman" w:hAnsi="Times New Roman" w:eastAsia="Yu Mincho" w:cs="Times New Roman"/>
                <w:i/>
                <w:iCs/>
                <w:kern w:val="0"/>
                <w:sz w:val="20"/>
                <w:szCs w:val="20"/>
                <w:highlight w:val="none"/>
                <w:lang w:val="en-US" w:eastAsia="ja-JP"/>
                <w14:ligatures w14:val="none"/>
              </w:rPr>
              <w:t xml:space="preserve"> without spectrum aggregation for </w:t>
            </w:r>
            <w:r>
              <w:rPr>
                <w:rFonts w:hint="eastAsia" w:ascii="Times New Roman" w:hAnsi="Times New Roman" w:eastAsia="等线" w:cs="Times New Roman"/>
                <w:i/>
                <w:iCs/>
                <w:kern w:val="0"/>
                <w:sz w:val="20"/>
                <w:szCs w:val="20"/>
                <w:highlight w:val="none"/>
                <w:lang w:val="en-US" w:eastAsia="zh-CN"/>
                <w14:ligatures w14:val="none"/>
              </w:rPr>
              <w:t xml:space="preserve">at least one </w:t>
            </w:r>
            <w:r>
              <w:rPr>
                <w:rFonts w:hint="eastAsia" w:ascii="Times New Roman" w:hAnsi="Times New Roman" w:eastAsia="Yu Mincho" w:cs="Times New Roman"/>
                <w:i/>
                <w:iCs/>
                <w:kern w:val="0"/>
                <w:sz w:val="20"/>
                <w:szCs w:val="20"/>
                <w:highlight w:val="none"/>
                <w:lang w:val="en-US" w:eastAsia="ja-JP"/>
                <w14:ligatures w14:val="none"/>
              </w:rPr>
              <w:t>low-tier device type supported by 6GR framework</w:t>
            </w:r>
            <w:r>
              <w:rPr>
                <w:rFonts w:hint="eastAsia" w:ascii="Times New Roman" w:hAnsi="Times New Roman" w:eastAsia="Batang" w:cs="Times New Roman"/>
                <w:i/>
                <w:iCs/>
                <w:kern w:val="0"/>
                <w:sz w:val="20"/>
                <w:szCs w:val="20"/>
                <w:highlight w:val="none"/>
                <w:lang w:val="en-US" w:eastAsia="zh-CN"/>
                <w14:ligatures w14:val="none"/>
              </w:rPr>
              <w:t xml:space="preserve"> </w:t>
            </w:r>
            <w:r>
              <w:rPr>
                <w:rFonts w:hint="eastAsia" w:ascii="Times New Roman" w:hAnsi="Times New Roman" w:eastAsia="等线" w:cs="Times New Roman"/>
                <w:i/>
                <w:iCs/>
                <w:kern w:val="0"/>
                <w:sz w:val="20"/>
                <w:szCs w:val="20"/>
                <w:highlight w:val="none"/>
                <w:lang w:val="en-US" w:eastAsia="zh-CN"/>
                <w14:ligatures w14:val="none"/>
              </w:rPr>
              <w:t>from physical layer perspective, subject to further discussion and confirmation in RAN</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Opt1: 3MHz</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Opt2: 5MHz</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Opt3: 10MHz</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Opt4: 20MHz</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FFS: the UL bandwidth may be different to the DL bandwidth</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 xml:space="preserve">FFS: the </w:t>
            </w:r>
            <w:r>
              <w:rPr>
                <w:rFonts w:hint="eastAsia" w:ascii="Times New Roman" w:hAnsi="Times New Roman" w:eastAsia="等线" w:cs="Times New Roman"/>
                <w:i/>
                <w:iCs/>
                <w:kern w:val="0"/>
                <w:sz w:val="20"/>
                <w:szCs w:val="20"/>
                <w:highlight w:val="none"/>
                <w:lang w:val="en-US" w:eastAsia="zh-CN"/>
                <w14:ligatures w14:val="none"/>
              </w:rPr>
              <w:t>bandwidth value</w:t>
            </w:r>
            <w:r>
              <w:rPr>
                <w:rFonts w:hint="eastAsia" w:ascii="Times New Roman" w:hAnsi="Times New Roman" w:eastAsia="Batang" w:cs="Times New Roman"/>
                <w:i/>
                <w:iCs/>
                <w:kern w:val="0"/>
                <w:sz w:val="20"/>
                <w:szCs w:val="20"/>
                <w:highlight w:val="none"/>
                <w:lang w:val="en-US" w:eastAsia="zh-CN"/>
                <w14:ligatures w14:val="none"/>
              </w:rPr>
              <w:t xml:space="preserve"> may be different for different SCS, duplex modes, and bands.</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252" w:lineRule="auto"/>
              <w:ind w:left="1260" w:leftChars="0" w:right="0" w:hanging="420"/>
              <w:contextualSpacing/>
              <w:jc w:val="both"/>
              <w:textAlignment w:val="baseline"/>
              <w:rPr>
                <w:rFonts w:hint="eastAsia" w:ascii="Times New Roman" w:hAnsi="Times New Roman" w:eastAsia="Batang" w:cs="Times New Roman"/>
                <w:i/>
                <w:iCs/>
                <w:kern w:val="0"/>
                <w:sz w:val="20"/>
                <w:szCs w:val="20"/>
                <w:highlight w:val="none"/>
                <w:lang w:val="en-US" w:eastAsia="zh-CN"/>
                <w14:ligatures w14:val="none"/>
              </w:rPr>
            </w:pPr>
            <w:r>
              <w:rPr>
                <w:rFonts w:hint="eastAsia" w:ascii="Times New Roman" w:hAnsi="Times New Roman" w:eastAsia="Batang" w:cs="Times New Roman"/>
                <w:i/>
                <w:iCs/>
                <w:kern w:val="0"/>
                <w:sz w:val="20"/>
                <w:szCs w:val="20"/>
                <w:highlight w:val="none"/>
                <w:lang w:val="en-US" w:eastAsia="zh-CN"/>
                <w14:ligatures w14:val="none"/>
              </w:rPr>
              <w:t>FFS: whether RF and BB UE BW are same or different</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20"/>
                <w:szCs w:val="20"/>
                <w:vertAlign w:val="baseline"/>
                <w:lang w:val="en-US" w:eastAsia="zh-CN"/>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 xml:space="preserve">In this contribution, we present our </w:t>
      </w:r>
      <w:r>
        <w:rPr>
          <w:rFonts w:hint="eastAsia" w:cs="Times New Roman"/>
          <w:sz w:val="20"/>
          <w:szCs w:val="20"/>
          <w:lang w:val="en-US" w:eastAsia="zh-CN"/>
        </w:rPr>
        <w:t>views</w:t>
      </w:r>
      <w:r>
        <w:rPr>
          <w:rFonts w:hint="eastAsia" w:ascii="Times New Roman" w:hAnsi="Times New Roman" w:cs="Times New Roman"/>
          <w:sz w:val="20"/>
          <w:szCs w:val="20"/>
          <w:lang w:val="en-US" w:eastAsia="zh-CN"/>
        </w:rPr>
        <w:t xml:space="preserve"> on the design of the synchronization signal</w:t>
      </w:r>
      <w:r>
        <w:rPr>
          <w:rFonts w:hint="default" w:cs="Times New Roman"/>
          <w:sz w:val="20"/>
          <w:szCs w:val="20"/>
          <w:lang w:val="en-US" w:eastAsia="zh-CN"/>
        </w:rPr>
        <w: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Design of the synchronization signal</w:t>
      </w:r>
    </w:p>
    <w:p>
      <w:pPr>
        <w:spacing w:before="10" w:after="10" w:line="360" w:lineRule="auto"/>
        <w:jc w:val="both"/>
        <w:rPr>
          <w:rFonts w:hint="default" w:eastAsia="宋体"/>
          <w:b w:val="0"/>
          <w:bCs w:val="0"/>
          <w:lang w:val="en-US" w:eastAsia="zh-CN"/>
        </w:rPr>
      </w:pPr>
      <w:r>
        <w:rPr>
          <w:rFonts w:hint="default" w:eastAsia="宋体"/>
          <w:b w:val="0"/>
          <w:bCs w:val="0"/>
          <w:lang w:val="en-US" w:eastAsia="zh-CN"/>
        </w:rPr>
        <w:t>Synchronization signals are a key component of the 6G initial access design. Their structure and periodicity directly impact system performance, network energy efficiency, and UE implementation complexity. Therefore, similar to the early study phase of 5G, synchronization signal design needs to be sufficiently discussed and carefully balanced from the very beginning of 6G studies.</w:t>
      </w:r>
    </w:p>
    <w:p>
      <w:pPr>
        <w:spacing w:before="10" w:after="10" w:line="360" w:lineRule="auto"/>
        <w:jc w:val="both"/>
        <w:rPr>
          <w:rFonts w:hint="default" w:eastAsia="宋体"/>
          <w:b w:val="0"/>
          <w:bCs w:val="0"/>
          <w:lang w:val="en-US" w:eastAsia="zh-CN"/>
        </w:rPr>
      </w:pPr>
      <w:r>
        <w:rPr>
          <w:rFonts w:hint="default" w:eastAsia="宋体"/>
          <w:b w:val="0"/>
          <w:bCs w:val="0"/>
          <w:lang w:val="en-US" w:eastAsia="zh-CN"/>
        </w:rPr>
        <w:t xml:space="preserve">In the design of synchronization signal structures, the minimum spectrum allocation is one of the key factors influencing </w:t>
      </w:r>
      <w:r>
        <w:rPr>
          <w:rFonts w:hint="eastAsia"/>
          <w:b w:val="0"/>
          <w:bCs w:val="0"/>
          <w:lang w:val="en-US" w:eastAsia="zh-CN"/>
        </w:rPr>
        <w:t xml:space="preserve">both </w:t>
      </w:r>
      <w:r>
        <w:rPr>
          <w:rFonts w:hint="default" w:eastAsia="宋体"/>
          <w:b w:val="0"/>
          <w:bCs w:val="0"/>
          <w:lang w:val="en-US" w:eastAsia="zh-CN"/>
        </w:rPr>
        <w:t xml:space="preserve">the bandwidth and </w:t>
      </w:r>
      <w:r>
        <w:rPr>
          <w:rFonts w:hint="eastAsia"/>
          <w:b w:val="0"/>
          <w:bCs w:val="0"/>
          <w:lang w:val="en-US" w:eastAsia="zh-CN"/>
        </w:rPr>
        <w:t xml:space="preserve">the </w:t>
      </w:r>
      <w:r>
        <w:rPr>
          <w:rFonts w:hint="default" w:eastAsia="宋体"/>
          <w:b w:val="0"/>
          <w:bCs w:val="0"/>
          <w:lang w:val="en-US" w:eastAsia="zh-CN"/>
        </w:rPr>
        <w:t xml:space="preserve">structural choices of synchronization signals. </w:t>
      </w:r>
      <w:r>
        <w:rPr>
          <w:rFonts w:hint="eastAsia"/>
          <w:b w:val="0"/>
          <w:bCs w:val="0"/>
          <w:lang w:val="en-US" w:eastAsia="zh-CN"/>
        </w:rPr>
        <w:t xml:space="preserve">At </w:t>
      </w:r>
      <w:r>
        <w:rPr>
          <w:rFonts w:hint="default" w:eastAsia="宋体"/>
          <w:b w:val="0"/>
          <w:bCs w:val="0"/>
          <w:lang w:val="en-US" w:eastAsia="zh-CN"/>
        </w:rPr>
        <w:t xml:space="preserve">RAN#110, it was agreed that the supported minimum spectrum allocation is 3 MHz, while the smallest maximum UE bandwidth is 5 MHz. Building on this agreement, RAN1#123 further discussed synchronization signal design options for the case of a 3 MHz minimum spectrum allocation with 15 kHz SCS, and reached the following </w:t>
      </w:r>
      <w:r>
        <w:rPr>
          <w:rFonts w:hint="eastAsia"/>
          <w:b w:val="0"/>
          <w:bCs w:val="0"/>
          <w:lang w:val="en-US" w:eastAsia="zh-CN"/>
        </w:rPr>
        <w:t>a</w:t>
      </w:r>
      <w:r>
        <w:rPr>
          <w:rFonts w:hint="default" w:eastAsia="宋体"/>
          <w:b w:val="0"/>
          <w:bCs w:val="0"/>
          <w:lang w:val="en-US" w:eastAsia="zh-CN"/>
        </w:rPr>
        <w:t>greement</w:t>
      </w:r>
      <w:r>
        <w:rPr>
          <w:rFonts w:hint="eastAsia"/>
          <w:b w:val="0"/>
          <w:bCs w:val="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宋体" w:cs="Times New Roman"/>
                <w:kern w:val="2"/>
                <w:sz w:val="20"/>
                <w:szCs w:val="20"/>
                <w:highlight w:val="green"/>
                <w:lang w:val="en-US" w:eastAsia="zh-CN"/>
              </w:rPr>
            </w:pPr>
            <w:r>
              <w:rPr>
                <w:rFonts w:hint="default" w:ascii="Times New Roman" w:hAnsi="Times New Roman" w:eastAsia="Times New Roman" w:cs="Times New Roman"/>
                <w:kern w:val="2"/>
                <w:sz w:val="20"/>
                <w:szCs w:val="20"/>
                <w:highlight w:val="green"/>
                <w:lang w:val="en-US" w:eastAsia="zh-CN"/>
              </w:rPr>
              <w:t>Agreement</w:t>
            </w:r>
            <w:r>
              <w:rPr>
                <w:rFonts w:hint="default" w:ascii="Times New Roman" w:hAnsi="Times New Roman" w:eastAsia="宋体" w:cs="Times New Roman"/>
                <w:kern w:val="2"/>
                <w:sz w:val="20"/>
                <w:szCs w:val="20"/>
                <w:highlight w:val="green"/>
                <w:lang w:val="en-US" w:eastAsia="zh-CN"/>
              </w:rPr>
              <w:t>@RAN1#123</w:t>
            </w:r>
          </w:p>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If the minimum</w:t>
            </w:r>
            <w:r>
              <w:rPr>
                <w:rFonts w:hint="default" w:ascii="Times New Roman" w:hAnsi="Times New Roman" w:eastAsia="Times New Roman" w:cs="Times New Roman"/>
                <w:kern w:val="2"/>
                <w:sz w:val="20"/>
                <w:szCs w:val="20"/>
                <w:lang w:val="en-US" w:eastAsia="zh-CN"/>
              </w:rPr>
              <w:t xml:space="preserve"> spectrum allocation</w:t>
            </w:r>
            <w:r>
              <w:rPr>
                <w:rFonts w:hint="default" w:ascii="Times New Roman" w:hAnsi="Times New Roman" w:cs="Times New Roman" w:eastAsiaTheme="minorEastAsia"/>
                <w:kern w:val="2"/>
                <w:sz w:val="20"/>
                <w:szCs w:val="20"/>
                <w:lang w:val="en-US" w:eastAsia="zh-CN"/>
              </w:rPr>
              <w:t xml:space="preserve"> is 3MHz with 15kHz SCS for 6GR,</w:t>
            </w:r>
          </w:p>
          <w:p>
            <w:pPr>
              <w:keepNext w:val="0"/>
              <w:keepLines w:val="0"/>
              <w:widowControl w:val="0"/>
              <w:numPr>
                <w:ilvl w:val="0"/>
                <w:numId w:val="11"/>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color w:val="auto"/>
                <w:kern w:val="2"/>
                <w:sz w:val="20"/>
                <w:szCs w:val="20"/>
                <w:lang w:val="en-US" w:eastAsia="zh-CN" w:bidi="ar-SA"/>
              </w:rPr>
            </w:pPr>
            <w:r>
              <w:rPr>
                <w:rFonts w:hint="default" w:ascii="Times New Roman" w:hAnsi="Times New Roman" w:eastAsia="Times New Roman" w:cs="Times New Roman"/>
                <w:kern w:val="2"/>
                <w:sz w:val="20"/>
                <w:szCs w:val="20"/>
                <w:lang w:val="en-US" w:eastAsia="en-US" w:bidi="ar-SA"/>
              </w:rPr>
              <w:t>Opt</w:t>
            </w:r>
            <w:r>
              <w:rPr>
                <w:rFonts w:hint="default" w:ascii="Times New Roman" w:hAnsi="Times New Roman" w:eastAsia="Times New Roman" w:cs="Times New Roman"/>
                <w:color w:val="auto"/>
                <w:kern w:val="2"/>
                <w:sz w:val="20"/>
                <w:szCs w:val="20"/>
                <w:lang w:val="en-US" w:eastAsia="en-US" w:bidi="ar-SA"/>
              </w:rPr>
              <w:t>1: D</w:t>
            </w:r>
            <w:r>
              <w:rPr>
                <w:rFonts w:hint="default" w:ascii="Times New Roman" w:hAnsi="Times New Roman" w:eastAsia="Times New Roman" w:cs="Times New Roman"/>
                <w:color w:val="auto"/>
                <w:kern w:val="2"/>
                <w:sz w:val="20"/>
                <w:szCs w:val="20"/>
                <w:lang w:val="en-US" w:eastAsia="zh-CN" w:bidi="ar-SA"/>
              </w:rPr>
              <w:t>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w:t>
            </w:r>
            <w:r>
              <w:rPr>
                <w:rFonts w:hint="default" w:ascii="Times New Roman" w:hAnsi="Times New Roman" w:eastAsia="Times New Roman" w:cs="Times New Roman"/>
                <w:color w:val="auto"/>
                <w:kern w:val="2"/>
                <w:sz w:val="20"/>
                <w:szCs w:val="20"/>
                <w:lang w:val="en-US" w:eastAsia="en-US" w:bidi="ar-SA"/>
              </w:rPr>
              <w:t xml:space="preserve"> </w:t>
            </w:r>
            <w:r>
              <w:rPr>
                <w:rFonts w:hint="default" w:ascii="Times New Roman" w:hAnsi="Times New Roman" w:cs="Times New Roman" w:eastAsiaTheme="minorEastAsia"/>
                <w:color w:val="auto"/>
                <w:kern w:val="2"/>
                <w:sz w:val="20"/>
                <w:szCs w:val="20"/>
                <w:lang w:val="en-US" w:eastAsia="zh-CN" w:bidi="ar-SA"/>
              </w:rPr>
              <w:t>bandwidth</w:t>
            </w:r>
            <w:r>
              <w:rPr>
                <w:rFonts w:hint="default" w:ascii="Times New Roman" w:hAnsi="Times New Roman" w:eastAsia="Times New Roman" w:cs="Times New Roman"/>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en-US" w:bidi="ar-SA"/>
              </w:rPr>
              <w:t xml:space="preserve">larger than </w:t>
            </w:r>
            <w:r>
              <w:rPr>
                <w:rFonts w:hint="default" w:ascii="Times New Roman" w:hAnsi="Times New Roman" w:cs="Times New Roman" w:eastAsiaTheme="minorEastAsia"/>
                <w:color w:val="auto"/>
                <w:kern w:val="2"/>
                <w:sz w:val="20"/>
                <w:szCs w:val="20"/>
                <w:lang w:val="en-US" w:eastAsia="zh-CN" w:bidi="ar-SA"/>
              </w:rPr>
              <w:t>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eastAsia="Times New Roman" w:cs="Times New Roman"/>
                <w:color w:val="auto"/>
                <w:kern w:val="2"/>
                <w:sz w:val="20"/>
                <w:szCs w:val="20"/>
                <w:lang w:val="en-US" w:eastAsia="zh-CN" w:bidi="ar-SA"/>
              </w:rPr>
              <w:t xml:space="preserve"> which is applicable to any spectrum allocations</w:t>
            </w:r>
            <w:r>
              <w:rPr>
                <w:rFonts w:hint="default" w:ascii="Times New Roman" w:hAnsi="Times New Roman" w:cs="Times New Roman" w:eastAsiaTheme="minorEastAsia"/>
                <w:color w:val="auto"/>
                <w:kern w:val="2"/>
                <w:sz w:val="20"/>
                <w:szCs w:val="20"/>
                <w:lang w:val="en-US" w:eastAsia="zh-CN" w:bidi="ar-SA"/>
              </w:rPr>
              <w:t xml:space="preserve"> with adjustment, if applicable</w:t>
            </w:r>
          </w:p>
          <w:p>
            <w:pPr>
              <w:keepNext w:val="0"/>
              <w:keepLines w:val="0"/>
              <w:widowControl w:val="0"/>
              <w:numPr>
                <w:ilvl w:val="0"/>
                <w:numId w:val="11"/>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color w:val="auto"/>
                <w:kern w:val="2"/>
                <w:sz w:val="20"/>
                <w:szCs w:val="20"/>
                <w:lang w:val="en-US" w:eastAsia="zh-CN" w:bidi="ar-SA"/>
              </w:rPr>
              <w:t>Opt</w:t>
            </w:r>
            <w:r>
              <w:rPr>
                <w:rFonts w:hint="default" w:ascii="Times New Roman" w:hAnsi="Times New Roman" w:eastAsia="Times New Roman" w:cs="Times New Roman"/>
                <w:color w:val="auto"/>
                <w:kern w:val="2"/>
                <w:sz w:val="20"/>
                <w:szCs w:val="20"/>
                <w:lang w:val="en-US" w:eastAsia="en-US" w:bidi="ar-SA"/>
              </w:rPr>
              <w:t>2</w:t>
            </w:r>
            <w:r>
              <w:rPr>
                <w:rFonts w:hint="default" w:ascii="Times New Roman" w:hAnsi="Times New Roman" w:eastAsia="Times New Roman" w:cs="Times New Roman"/>
                <w:color w:val="auto"/>
                <w:kern w:val="2"/>
                <w:sz w:val="20"/>
                <w:szCs w:val="20"/>
                <w:lang w:val="en-US" w:eastAsia="zh-CN" w:bidi="ar-SA"/>
              </w:rPr>
              <w:t>: A single design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 minimum spectrum allocation as target bandwidth</w:t>
            </w:r>
            <w:r>
              <w:rPr>
                <w:rFonts w:hint="default" w:ascii="Times New Roman" w:hAnsi="Times New Roman" w:cs="Times New Roman" w:eastAsiaTheme="minorEastAsia"/>
                <w:color w:val="auto"/>
                <w:kern w:val="2"/>
                <w:sz w:val="20"/>
                <w:szCs w:val="20"/>
                <w:lang w:val="en-US" w:eastAsia="zh-CN" w:bidi="ar-SA"/>
              </w:rPr>
              <w:t xml:space="preserve"> 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cs="Times New Roman" w:eastAsiaTheme="minorEastAsia"/>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zh-CN" w:bidi="ar-SA"/>
              </w:rPr>
              <w:t>which is applicable to any spectru</w:t>
            </w:r>
            <w:r>
              <w:rPr>
                <w:rFonts w:hint="default" w:ascii="Times New Roman" w:hAnsi="Times New Roman" w:eastAsia="Times New Roman" w:cs="Times New Roman"/>
                <w:kern w:val="2"/>
                <w:sz w:val="20"/>
                <w:szCs w:val="20"/>
                <w:lang w:val="en-US" w:eastAsia="zh-CN" w:bidi="ar-SA"/>
              </w:rPr>
              <w:t>m allocations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eastAsiaTheme="minorEastAsia"/>
                <w:b w:val="0"/>
                <w:bCs w:val="0"/>
                <w:sz w:val="20"/>
                <w:szCs w:val="20"/>
                <w:vertAlign w:val="baseline"/>
                <w:lang w:val="en-US" w:eastAsia="zh-CN"/>
              </w:rPr>
            </w:pPr>
          </w:p>
        </w:tc>
      </w:tr>
    </w:tbl>
    <w:p>
      <w:pPr>
        <w:spacing w:before="10" w:after="10" w:line="360" w:lineRule="auto"/>
        <w:jc w:val="both"/>
        <w:rPr>
          <w:rFonts w:hint="default" w:eastAsia="宋体"/>
          <w:b w:val="0"/>
          <w:bCs w:val="0"/>
          <w:lang w:val="en-US" w:eastAsia="zh-CN"/>
        </w:rPr>
      </w:pPr>
      <w:r>
        <w:rPr>
          <w:rFonts w:hint="default" w:eastAsia="宋体"/>
          <w:b w:val="0"/>
          <w:bCs w:val="0"/>
          <w:lang w:val="en-US" w:eastAsia="zh-CN"/>
        </w:rPr>
        <w:t xml:space="preserve">For Opt1, synchronization signals are designed assuming a system bandwidth larger than 3 MHz (e.g., 5 MHz). </w:t>
      </w:r>
      <w:r>
        <w:rPr>
          <w:rFonts w:hint="eastAsia"/>
          <w:b w:val="0"/>
          <w:bCs w:val="0"/>
          <w:lang w:val="en-US" w:eastAsia="zh-CN"/>
        </w:rPr>
        <w:t>F</w:t>
      </w:r>
      <w:r>
        <w:rPr>
          <w:rFonts w:hint="default" w:eastAsia="宋体"/>
          <w:b w:val="0"/>
          <w:bCs w:val="0"/>
          <w:lang w:val="en-US" w:eastAsia="zh-CN"/>
        </w:rPr>
        <w:t>or carriers with a 3 MHz minimum spectrum allocation, in order to minimize the impact on the specification, a punctured SSB design similar to that in NR Rel</w:t>
      </w:r>
      <w:r>
        <w:rPr>
          <w:rFonts w:hint="default" w:eastAsia="宋体"/>
          <w:b w:val="0"/>
          <w:bCs w:val="0"/>
          <w:lang w:val="en-US" w:eastAsia="zh-CN"/>
        </w:rPr>
        <w:noBreakHyphen/>
      </w:r>
      <w:r>
        <w:rPr>
          <w:rFonts w:hint="default" w:eastAsia="宋体"/>
          <w:b w:val="0"/>
          <w:bCs w:val="0"/>
          <w:lang w:val="en-US" w:eastAsia="zh-CN"/>
        </w:rPr>
        <w:t>18 would need to be adopted. However, experience from NR has shown that</w:t>
      </w:r>
      <w:r>
        <w:rPr>
          <w:rFonts w:hint="eastAsia"/>
          <w:b w:val="0"/>
          <w:bCs w:val="0"/>
          <w:lang w:val="en-US" w:eastAsia="zh-CN"/>
        </w:rPr>
        <w:t xml:space="preserve"> such a</w:t>
      </w:r>
      <w:r>
        <w:rPr>
          <w:rFonts w:hint="default" w:eastAsia="宋体"/>
          <w:b w:val="0"/>
          <w:bCs w:val="0"/>
          <w:lang w:val="en-US" w:eastAsia="zh-CN"/>
        </w:rPr>
        <w:t xml:space="preserve"> punctured SSB transmission results in significant PBCH decoding performance degradation, which </w:t>
      </w:r>
      <w:r>
        <w:rPr>
          <w:rFonts w:hint="eastAsia"/>
          <w:b w:val="0"/>
          <w:bCs w:val="0"/>
          <w:lang w:val="en-US" w:eastAsia="zh-CN"/>
        </w:rPr>
        <w:t xml:space="preserve">in turn </w:t>
      </w:r>
      <w:r>
        <w:rPr>
          <w:rFonts w:hint="default" w:eastAsia="宋体"/>
          <w:b w:val="0"/>
          <w:bCs w:val="0"/>
          <w:lang w:val="en-US" w:eastAsia="zh-CN"/>
        </w:rPr>
        <w:t>negatively affects coverage and the reliability of initial access</w:t>
      </w:r>
      <w:r>
        <w:rPr>
          <w:rFonts w:hint="eastAsia"/>
          <w:b w:val="0"/>
          <w:bCs w:val="0"/>
          <w:lang w:val="en-US" w:eastAsia="zh-CN"/>
        </w:rPr>
        <w:t>, especially for UEs operating under challenging radio conditions</w:t>
      </w:r>
      <w:r>
        <w:rPr>
          <w:rFonts w:hint="default" w:eastAsia="宋体"/>
          <w:b w:val="0"/>
          <w:bCs w:val="0"/>
          <w:lang w:val="en-US" w:eastAsia="zh-CN"/>
        </w:rPr>
        <w:t>.</w:t>
      </w:r>
    </w:p>
    <w:p>
      <w:pPr>
        <w:spacing w:before="10" w:after="10" w:line="360" w:lineRule="auto"/>
        <w:jc w:val="both"/>
        <w:rPr>
          <w:rFonts w:hint="default"/>
          <w:lang w:val="en-US" w:eastAsia="zh-CN"/>
        </w:rPr>
      </w:pPr>
      <w:r>
        <w:rPr>
          <w:rFonts w:hint="default"/>
          <w:lang w:val="en-US" w:eastAsia="zh-CN"/>
        </w:rPr>
        <w:t>In contrast, for Opt2, synchronization signals are designed based on the 3 MHz minimum spectrum allocation. While this approach avoids the need for puncturing, it introduces challenges related to reduced coverage capability and degraded detection performance under nar</w:t>
      </w:r>
      <w:bookmarkStart w:id="5" w:name="_GoBack"/>
      <w:bookmarkEnd w:id="5"/>
      <w:r>
        <w:rPr>
          <w:rFonts w:hint="default"/>
          <w:lang w:val="en-US" w:eastAsia="zh-CN"/>
        </w:rPr>
        <w:t>row bandwidth conditions</w:t>
      </w:r>
      <w:r>
        <w:rPr>
          <w:rFonts w:hint="eastAsia"/>
          <w:lang w:val="en-US" w:eastAsia="zh-CN"/>
        </w:rPr>
        <w:t>.</w:t>
      </w:r>
      <w:r>
        <w:rPr>
          <w:rFonts w:hint="default"/>
          <w:lang w:val="en-US" w:eastAsia="zh-CN"/>
        </w:rPr>
        <w:t xml:space="preserve"> To address these challenges,, increasing the number of</w:t>
      </w:r>
      <w:r>
        <w:rPr>
          <w:rFonts w:hint="eastAsia"/>
          <w:lang w:val="en-US" w:eastAsia="zh-CN"/>
        </w:rPr>
        <w:t xml:space="preserve"> </w:t>
      </w:r>
      <w:r>
        <w:rPr>
          <w:rFonts w:hint="default"/>
          <w:lang w:val="en-US" w:eastAsia="zh-CN"/>
        </w:rPr>
        <w:t>OFDM symbols used for</w:t>
      </w:r>
      <w:r>
        <w:rPr>
          <w:rFonts w:hint="eastAsia"/>
          <w:lang w:val="en-US" w:eastAsia="zh-CN"/>
        </w:rPr>
        <w:t xml:space="preserve"> </w:t>
      </w:r>
      <w:r>
        <w:rPr>
          <w:rFonts w:hint="default"/>
          <w:lang w:val="en-US" w:eastAsia="zh-CN"/>
        </w:rPr>
        <w:t>the synchronization signal</w:t>
      </w:r>
      <w:r>
        <w:rPr>
          <w:rFonts w:hint="eastAsia"/>
          <w:lang w:val="en-US" w:eastAsia="zh-CN"/>
        </w:rPr>
        <w:t xml:space="preserve"> </w:t>
      </w:r>
      <w:r>
        <w:rPr>
          <w:rFonts w:hint="default"/>
          <w:lang w:val="en-US" w:eastAsia="zh-CN"/>
        </w:rPr>
        <w:t>can be considered.</w:t>
      </w:r>
      <w:r>
        <w:rPr>
          <w:rFonts w:hint="default"/>
          <w:lang w:val="en-US" w:eastAsia="zh-CN"/>
        </w:rPr>
        <w:br w:type="textWrapping"/>
      </w:r>
      <w:r>
        <w:rPr>
          <w:rFonts w:hint="default"/>
          <w:lang w:val="en-US" w:eastAsia="zh-CN"/>
        </w:rPr>
        <w:t xml:space="preserve">Furthermore, </w:t>
      </w:r>
      <w:r>
        <w:rPr>
          <w:rFonts w:hint="eastAsia"/>
          <w:lang w:val="en-US" w:eastAsia="zh-CN"/>
        </w:rPr>
        <w:t xml:space="preserve">for </w:t>
      </w:r>
      <w:r>
        <w:rPr>
          <w:rFonts w:hint="default"/>
          <w:lang w:val="en-US" w:eastAsia="zh-CN"/>
        </w:rPr>
        <w:t>Opt2, in addition to increasing the number of OFDM symbols used for</w:t>
      </w:r>
      <w:r>
        <w:rPr>
          <w:rFonts w:hint="eastAsia"/>
          <w:lang w:val="en-US" w:eastAsia="zh-CN"/>
        </w:rPr>
        <w:t xml:space="preserve"> </w:t>
      </w:r>
      <w:r>
        <w:rPr>
          <w:rFonts w:hint="default"/>
          <w:lang w:val="en-US" w:eastAsia="zh-CN"/>
        </w:rPr>
        <w:t xml:space="preserve">the synchronization signal, a decoupled design for PSS/SSS and PBCH may also be considered, as discussed </w:t>
      </w:r>
      <w:r>
        <w:rPr>
          <w:rFonts w:hint="eastAsia"/>
          <w:lang w:val="en-US" w:eastAsia="zh-CN"/>
        </w:rPr>
        <w:t>in LTE</w:t>
      </w:r>
      <w:r>
        <w:rPr>
          <w:rFonts w:hint="default"/>
          <w:lang w:val="en-US" w:eastAsia="zh-CN"/>
        </w:rPr>
        <w:t>. Such a design can help reduce the number of consecutive OFDM symbols occupied by a single synchronization signal, improve time</w:t>
      </w:r>
      <w:r>
        <w:rPr>
          <w:rFonts w:hint="eastAsia"/>
          <w:lang w:val="en-US" w:eastAsia="zh-CN"/>
        </w:rPr>
        <w:t xml:space="preserve"> </w:t>
      </w:r>
      <w:r>
        <w:rPr>
          <w:rFonts w:hint="default"/>
          <w:lang w:val="en-US" w:eastAsia="zh-CN"/>
        </w:rPr>
        <w:t>domain resource utilization for data transmission</w:t>
      </w:r>
      <w:r>
        <w:rPr>
          <w:rFonts w:hint="eastAsia"/>
          <w:lang w:val="en-US" w:eastAsia="zh-CN"/>
        </w:rPr>
        <w:t xml:space="preserve"> </w:t>
      </w:r>
      <w:r>
        <w:rPr>
          <w:rFonts w:hint="default"/>
          <w:lang w:val="en-US" w:eastAsia="zh-CN"/>
        </w:rPr>
        <w:t>for</w:t>
      </w:r>
      <w:r>
        <w:rPr>
          <w:rFonts w:hint="eastAsia"/>
          <w:lang w:val="en-US" w:eastAsia="zh-CN"/>
        </w:rPr>
        <w:t xml:space="preserve"> </w:t>
      </w:r>
      <w:r>
        <w:rPr>
          <w:rFonts w:hint="default"/>
          <w:lang w:val="en-US" w:eastAsia="zh-CN"/>
        </w:rPr>
        <w:t>UEs.</w:t>
      </w:r>
    </w:p>
    <w:p>
      <w:pPr>
        <w:spacing w:before="10" w:after="10" w:line="360" w:lineRule="auto"/>
        <w:jc w:val="both"/>
        <w:rPr>
          <w:rFonts w:hint="eastAsia"/>
          <w:lang w:val="en-US" w:eastAsia="zh-CN"/>
        </w:rPr>
      </w:pPr>
      <w:r>
        <w:rPr>
          <w:rFonts w:hint="eastAsia"/>
          <w:lang w:val="en-US" w:eastAsia="zh-CN"/>
        </w:rPr>
        <w:t>Based on the above considerations, Opt2 can be supported, while the detailed design of synchronization signals based on the 3 MHz minimum spectrum allocation, including potential time domain enhancements and decoupled signal structures, requires further study in RAN1.</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1</w:t>
      </w:r>
      <w:r>
        <w:rPr>
          <w:rFonts w:hint="default"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ascii="Times New Roman" w:eastAsia="宋体"/>
          <w:b/>
          <w:bCs/>
          <w:color w:val="auto"/>
          <w:sz w:val="20"/>
          <w:szCs w:val="20"/>
          <w:lang w:val="en-US" w:eastAsia="zh-CN"/>
        </w:rPr>
        <w:t>that synchronization signals based on the 3 MHz minimum spectrum allocation</w:t>
      </w:r>
      <w:r>
        <w:rPr>
          <w:rFonts w:hint="eastAsia"/>
          <w:b/>
          <w:bCs/>
          <w:color w:val="auto"/>
          <w:sz w:val="20"/>
          <w:szCs w:val="20"/>
          <w:lang w:val="en-US" w:eastAsia="zh-CN"/>
        </w:rPr>
        <w:t xml:space="preserve"> can be considered</w:t>
      </w:r>
      <w:r>
        <w:rPr>
          <w:rFonts w:hint="default" w:eastAsia="宋体"/>
          <w:b/>
          <w:bCs/>
          <w:color w:val="auto"/>
          <w:sz w:val="20"/>
          <w:szCs w:val="20"/>
          <w:lang w:val="en-US" w:eastAsia="zh-CN"/>
        </w:rPr>
        <w:t>.</w:t>
      </w:r>
    </w:p>
    <w:p>
      <w:pPr>
        <w:spacing w:before="10" w:after="10" w:line="360" w:lineRule="auto"/>
        <w:jc w:val="both"/>
        <w:rPr>
          <w:rFonts w:hint="eastAsia"/>
          <w:lang w:val="en-US" w:eastAsia="zh-CN"/>
        </w:rPr>
      </w:pPr>
      <w:r>
        <w:rPr>
          <w:rFonts w:hint="eastAsia"/>
          <w:lang w:val="en-US" w:eastAsia="zh-CN"/>
        </w:rPr>
        <w:t>In addition to synchronization signal structure, the periodicity configuration of synchronization signals is another key aspect that needs to be considered at the first day of 6G. Since 6G is expected to address network energy saving and support multiple UE types, synchronization signals may support multiple periodicity configurations, including longer periodicities, and allow synchronization signals adaptation depending on service requirements and network load conditions.</w:t>
      </w:r>
    </w:p>
    <w:p>
      <w:pPr>
        <w:spacing w:before="10" w:after="10" w:line="360" w:lineRule="auto"/>
        <w:jc w:val="both"/>
        <w:rPr>
          <w:rFonts w:hint="default"/>
          <w:lang w:val="en-US" w:eastAsia="zh-CN"/>
        </w:rPr>
      </w:pPr>
      <w:r>
        <w:rPr>
          <w:rFonts w:hint="default"/>
          <w:lang w:val="en-US" w:eastAsia="zh-CN"/>
        </w:rPr>
        <w:t>Moreover, to better meet network energy</w:t>
      </w:r>
      <w:r>
        <w:rPr>
          <w:rFonts w:hint="eastAsia"/>
          <w:lang w:val="en-US" w:eastAsia="zh-CN"/>
        </w:rPr>
        <w:t xml:space="preserve"> saving</w:t>
      </w:r>
      <w:r>
        <w:rPr>
          <w:rFonts w:hint="default"/>
          <w:lang w:val="en-US" w:eastAsia="zh-CN"/>
        </w:rPr>
        <w:t xml:space="preserve"> requirements, different synchronization signal transmission mechanisms may be considered for different RRC states. For example, always-on synchronization signals may be supported in RRC idle/inactive states to ensure basic initial access, while on-demand synchronization signals may be supported in the RRC connected state to reduce unnecessary</w:t>
      </w:r>
      <w:r>
        <w:rPr>
          <w:rFonts w:hint="eastAsia"/>
          <w:lang w:val="en-US" w:eastAsia="zh-CN"/>
        </w:rPr>
        <w:t xml:space="preserve"> </w:t>
      </w:r>
      <w:r>
        <w:rPr>
          <w:rFonts w:hint="default"/>
          <w:lang w:val="en-US" w:eastAsia="zh-CN"/>
        </w:rPr>
        <w:t>network consumption.</w:t>
      </w:r>
    </w:p>
    <w:p>
      <w:pPr>
        <w:spacing w:before="10" w:after="10" w:line="360" w:lineRule="auto"/>
        <w:jc w:val="both"/>
        <w:rPr>
          <w:rFonts w:hint="eastAsia"/>
          <w:lang w:val="en-US" w:eastAsia="zh-CN"/>
        </w:rPr>
      </w:pPr>
      <w:r>
        <w:rPr>
          <w:rFonts w:hint="eastAsia"/>
          <w:lang w:val="en-US" w:eastAsia="zh-CN"/>
        </w:rPr>
        <w:t xml:space="preserve">In summary, multiple synchronization signal periodicity configurations, including longer synchronization signal periodicities, may be supported in 6G. In addition, </w:t>
      </w:r>
      <w:r>
        <w:rPr>
          <w:rFonts w:hint="default"/>
          <w:lang w:val="en-US" w:eastAsia="zh-CN"/>
        </w:rPr>
        <w:t>different synchronization signal transmission mechanisms may be considered for different RRC states</w:t>
      </w:r>
      <w:r>
        <w:rPr>
          <w:rFonts w:hint="eastAsia"/>
          <w:lang w:val="en-US" w:eastAsia="zh-CN"/>
        </w:rPr>
        <w:t>.</w:t>
      </w:r>
    </w:p>
    <w:p>
      <w:pPr>
        <w:spacing w:before="10" w:after="10" w:line="360" w:lineRule="auto"/>
        <w:jc w:val="both"/>
        <w:rPr>
          <w:rFonts w:hint="eastAsia"/>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ascii="Times New Roman" w:eastAsia="宋体"/>
          <w:b/>
          <w:bCs/>
          <w:color w:val="auto"/>
          <w:sz w:val="20"/>
          <w:szCs w:val="20"/>
          <w:lang w:val="en-US" w:eastAsia="zh-CN"/>
        </w:rPr>
        <w:t>that multiple synchronization signal periodicity configurations</w:t>
      </w:r>
      <w:r>
        <w:rPr>
          <w:rFonts w:hint="eastAsia"/>
          <w:b/>
          <w:bCs/>
          <w:color w:val="auto"/>
          <w:sz w:val="20"/>
          <w:szCs w:val="20"/>
          <w:lang w:val="en-US" w:eastAsia="zh-CN"/>
        </w:rPr>
        <w:t xml:space="preserve"> and allow synchronization signals adaptation can be supported</w:t>
      </w:r>
      <w:r>
        <w:rPr>
          <w:rFonts w:hint="default" w:eastAsia="宋体"/>
          <w:b/>
          <w:bCs/>
          <w:color w:val="auto"/>
          <w:sz w:val="20"/>
          <w:szCs w:val="20"/>
          <w:lang w:val="en-US" w:eastAsia="zh-CN"/>
        </w:rPr>
        <w:t>.</w:t>
      </w:r>
    </w:p>
    <w:p>
      <w:pPr>
        <w:spacing w:before="10" w:after="10" w:line="360" w:lineRule="auto"/>
        <w:jc w:val="both"/>
        <w:rPr>
          <w:rFonts w:hint="eastAsia" w:eastAsiaTheme="minorEastAsia"/>
          <w:b w:val="0"/>
          <w:bCs w:val="0"/>
          <w:lang w:val="en-US" w:eastAsia="zh-CN"/>
        </w:rPr>
      </w:pPr>
      <w:r>
        <w:rPr>
          <w:rFonts w:hint="default" w:eastAsia="宋体"/>
          <w:b/>
          <w:bCs/>
          <w:color w:val="auto"/>
          <w:sz w:val="20"/>
          <w:szCs w:val="20"/>
          <w:lang w:val="en-US" w:eastAsia="zh-CN"/>
        </w:rPr>
        <w:t xml:space="preserve">Proposal </w:t>
      </w:r>
      <w:r>
        <w:rPr>
          <w:rFonts w:hint="eastAsia" w:ascii="Times New Roman" w:eastAsia="宋体"/>
          <w:b/>
          <w:bCs/>
          <w:color w:val="auto"/>
          <w:sz w:val="20"/>
          <w:szCs w:val="20"/>
          <w:lang w:val="en-US" w:eastAsia="zh-CN"/>
        </w:rPr>
        <w:t>3</w:t>
      </w:r>
      <w:r>
        <w:rPr>
          <w:rFonts w:hint="default" w:eastAsia="宋体"/>
          <w:b/>
          <w:bCs/>
          <w:color w:val="auto"/>
          <w:sz w:val="20"/>
          <w:szCs w:val="20"/>
          <w:lang w:val="en-US" w:eastAsia="zh-CN"/>
        </w:rPr>
        <w:t xml:space="preserve">: </w:t>
      </w:r>
      <w:r>
        <w:rPr>
          <w:rFonts w:hint="eastAsia" w:ascii="Times New Roman" w:eastAsia="宋体"/>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ascii="Times New Roman" w:eastAsia="宋体"/>
          <w:b/>
          <w:bCs/>
          <w:color w:val="auto"/>
          <w:sz w:val="20"/>
          <w:szCs w:val="20"/>
          <w:lang w:val="en-US" w:eastAsia="zh-CN"/>
        </w:rPr>
        <w:t xml:space="preserve">that </w:t>
      </w:r>
      <w:r>
        <w:rPr>
          <w:rFonts w:hint="eastAsia"/>
          <w:b/>
          <w:bCs/>
          <w:color w:val="auto"/>
          <w:sz w:val="20"/>
          <w:szCs w:val="20"/>
          <w:lang w:val="en-US" w:eastAsia="zh-CN"/>
        </w:rPr>
        <w:t>d</w:t>
      </w:r>
      <w:r>
        <w:rPr>
          <w:rFonts w:hint="eastAsia" w:ascii="Times New Roman" w:eastAsia="宋体"/>
          <w:b/>
          <w:bCs/>
          <w:color w:val="auto"/>
          <w:sz w:val="20"/>
          <w:szCs w:val="20"/>
          <w:lang w:val="en-US" w:eastAsia="zh-CN"/>
        </w:rPr>
        <w:t>ifferent synchronization signal transmission mechanisms for different RRC states</w:t>
      </w:r>
      <w:r>
        <w:rPr>
          <w:rFonts w:hint="eastAsia"/>
          <w:b/>
          <w:bCs/>
          <w:color w:val="auto"/>
          <w:sz w:val="20"/>
          <w:szCs w:val="20"/>
          <w:lang w:val="en-US" w:eastAsia="zh-CN"/>
        </w:rPr>
        <w:t xml:space="preserve"> </w:t>
      </w:r>
      <w:r>
        <w:rPr>
          <w:rFonts w:hint="eastAsia" w:ascii="Times New Roman" w:eastAsia="宋体"/>
          <w:b/>
          <w:bCs/>
          <w:color w:val="auto"/>
          <w:sz w:val="20"/>
          <w:szCs w:val="20"/>
          <w:lang w:val="en-US" w:eastAsia="zh-CN"/>
        </w:rPr>
        <w:t>may be considered</w:t>
      </w:r>
      <w:r>
        <w:rPr>
          <w:rFonts w:hint="default" w:eastAsia="宋体"/>
          <w:b/>
          <w:bCs/>
          <w:color w:val="auto"/>
          <w:sz w:val="20"/>
          <w:szCs w:val="20"/>
          <w:lang w:val="en-US" w:eastAsia="zh-CN"/>
        </w:rPr>
        <w:t>.</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w:t>
      </w:r>
      <w:r>
        <w:rPr>
          <w:rFonts w:hint="default" w:cs="Times New Roman"/>
          <w:sz w:val="20"/>
          <w:szCs w:val="20"/>
          <w:lang w:val="en-US" w:eastAsia="zh-CN"/>
        </w:rPr>
        <w:t>synchronization signal design</w:t>
      </w:r>
      <w:r>
        <w:rPr>
          <w:rFonts w:hint="default" w:ascii="Times New Roman" w:hAnsi="Times New Roman" w:cs="Times New Roman"/>
          <w:sz w:val="20"/>
          <w:szCs w:val="20"/>
          <w:lang w:val="en-US" w:eastAsia="zh-CN"/>
        </w:rPr>
        <w:t xml:space="preserv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synchronization signals based on the 3 MHz minimum spectrum allocation can be considered.</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multiple synchronization signal periodicity configurations and allow synchronization signals adaptation can be supported.</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different synchronization signal transmission mechanisms for different RRC states may be considered.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2"/>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eastAsia="宋体"/>
          <w:sz w:val="20"/>
          <w:lang w:val="en-US" w:eastAsia="zh-CN"/>
        </w:rPr>
        <w:t>“Final Report of 3GPP TSG RAN WG1 #122-bis v1.0.4”, RAN1#122bis</w:t>
      </w:r>
    </w:p>
    <w:p>
      <w:pPr>
        <w:pStyle w:val="27"/>
        <w:numPr>
          <w:ilvl w:val="0"/>
          <w:numId w:val="12"/>
        </w:numPr>
        <w:spacing w:before="0" w:beforeLines="-2147483648" w:afterLines="-2147483648" w:line="360" w:lineRule="auto"/>
        <w:ind w:left="0" w:leftChars="0" w:firstLine="0"/>
        <w:jc w:val="both"/>
        <w:rPr>
          <w:rFonts w:hint="eastAsia" w:ascii="Times New Roman" w:hAnsi="Times New Roman" w:eastAsia="宋体"/>
          <w:lang w:val="en-US" w:eastAsia="zh-CN"/>
        </w:rPr>
      </w:pPr>
      <w:r>
        <w:rPr>
          <w:rFonts w:hint="eastAsia" w:ascii="Times New Roman" w:hAnsi="Times New Roman" w:eastAsia="宋体"/>
          <w:lang w:val="en-US" w:eastAsia="zh-CN"/>
        </w:rPr>
        <w:t>“Chair notes RAN1#123”, RAN1#123</w:t>
      </w:r>
    </w:p>
    <w:p>
      <w:pPr>
        <w:pStyle w:val="27"/>
        <w:numPr>
          <w:ilvl w:val="0"/>
          <w:numId w:val="12"/>
        </w:numPr>
        <w:spacing w:before="0" w:beforeLines="-2147483648" w:afterLines="-2147483648" w:line="360" w:lineRule="auto"/>
        <w:ind w:left="0" w:leftChars="0" w:firstLine="0"/>
        <w:jc w:val="both"/>
        <w:rPr>
          <w:rFonts w:hint="eastAsia" w:ascii="Times New Roman" w:hAnsi="Times New Roman" w:eastAsia="宋体"/>
          <w:lang w:val="en-US" w:eastAsia="zh-CN"/>
        </w:rPr>
      </w:pPr>
      <w:r>
        <w:rPr>
          <w:rFonts w:hint="eastAsia" w:ascii="Times New Roman" w:hAnsi="Times New Roman" w:eastAsia="宋体"/>
          <w:lang w:val="en-US" w:eastAsia="zh-CN"/>
        </w:rPr>
        <w:t>“RP-253856”, RAN#120</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2F213"/>
    <w:multiLevelType w:val="multilevel"/>
    <w:tmpl w:val="8AD2F21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A10B293E"/>
    <w:multiLevelType w:val="singleLevel"/>
    <w:tmpl w:val="A10B293E"/>
    <w:lvl w:ilvl="0" w:tentative="0">
      <w:start w:val="1"/>
      <w:numFmt w:val="bullet"/>
      <w:lvlText w:val=""/>
      <w:lvlJc w:val="left"/>
      <w:pPr>
        <w:ind w:left="420" w:hanging="420"/>
      </w:pPr>
      <w:rPr>
        <w:rFonts w:hint="default" w:ascii="Wingdings" w:hAnsi="Wingdings"/>
      </w:rPr>
    </w:lvl>
  </w:abstractNum>
  <w:abstractNum w:abstractNumId="2">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FEF2E373"/>
    <w:multiLevelType w:val="singleLevel"/>
    <w:tmpl w:val="FEF2E373"/>
    <w:lvl w:ilvl="0" w:tentative="0">
      <w:start w:val="1"/>
      <w:numFmt w:val="bullet"/>
      <w:lvlText w:val=""/>
      <w:lvlJc w:val="left"/>
      <w:pPr>
        <w:ind w:left="420" w:hanging="420"/>
      </w:pPr>
      <w:rPr>
        <w:rFonts w:hint="default" w:ascii="Wingdings" w:hAnsi="Wingdings"/>
      </w:rPr>
    </w:lvl>
  </w:abstractNum>
  <w:abstractNum w:abstractNumId="4">
    <w:nsid w:val="30BF97FE"/>
    <w:multiLevelType w:val="singleLevel"/>
    <w:tmpl w:val="30BF97FE"/>
    <w:lvl w:ilvl="0" w:tentative="0">
      <w:start w:val="1"/>
      <w:numFmt w:val="bullet"/>
      <w:lvlText w:val=""/>
      <w:lvlJc w:val="left"/>
      <w:pPr>
        <w:ind w:left="420" w:hanging="420"/>
      </w:pPr>
      <w:rPr>
        <w:rFonts w:hint="default" w:ascii="Wingdings" w:hAnsi="Wingdings"/>
      </w:rPr>
    </w:lvl>
  </w:abstractNum>
  <w:abstractNum w:abstractNumId="5">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BACF89"/>
    <w:multiLevelType w:val="singleLevel"/>
    <w:tmpl w:val="5BBACF89"/>
    <w:lvl w:ilvl="0" w:tentative="0">
      <w:start w:val="1"/>
      <w:numFmt w:val="bullet"/>
      <w:lvlText w:val=""/>
      <w:lvlJc w:val="left"/>
      <w:pPr>
        <w:tabs>
          <w:tab w:val="left" w:pos="840"/>
        </w:tabs>
        <w:ind w:left="1260" w:hanging="420"/>
      </w:pPr>
      <w:rPr>
        <w:rFonts w:hint="default" w:ascii="Wingdings" w:hAnsi="Wingdings"/>
      </w:rPr>
    </w:lvl>
  </w:abstractNum>
  <w:abstractNum w:abstractNumId="9">
    <w:nsid w:val="767811F2"/>
    <w:multiLevelType w:val="singleLevel"/>
    <w:tmpl w:val="767811F2"/>
    <w:lvl w:ilvl="0" w:tentative="0">
      <w:start w:val="1"/>
      <w:numFmt w:val="bullet"/>
      <w:lvlText w:val=""/>
      <w:lvlJc w:val="left"/>
      <w:pPr>
        <w:tabs>
          <w:tab w:val="left" w:pos="420"/>
        </w:tabs>
        <w:ind w:left="840" w:hanging="420"/>
      </w:pPr>
      <w:rPr>
        <w:rFonts w:hint="default" w:ascii="Wingdings" w:hAnsi="Wingdings"/>
      </w:rPr>
    </w:lvl>
  </w:abstractNum>
  <w:abstractNum w:abstractNumId="10">
    <w:nsid w:val="7A2AB3BF"/>
    <w:multiLevelType w:val="singleLevel"/>
    <w:tmpl w:val="7A2AB3BF"/>
    <w:lvl w:ilvl="0" w:tentative="0">
      <w:start w:val="1"/>
      <w:numFmt w:val="bullet"/>
      <w:lvlText w:val=""/>
      <w:lvlJc w:val="left"/>
      <w:pPr>
        <w:tabs>
          <w:tab w:val="left" w:pos="420"/>
        </w:tabs>
        <w:ind w:left="840" w:hanging="420"/>
      </w:pPr>
      <w:rPr>
        <w:rFonts w:hint="default" w:ascii="Wingdings" w:hAnsi="Wingdings"/>
      </w:rPr>
    </w:lvl>
  </w:abstractNum>
  <w:abstractNum w:abstractNumId="11">
    <w:nsid w:val="7D6E2974"/>
    <w:multiLevelType w:val="multilevel"/>
    <w:tmpl w:val="7D6E297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5"/>
  </w:num>
  <w:num w:numId="3">
    <w:abstractNumId w:val="1"/>
  </w:num>
  <w:num w:numId="4">
    <w:abstractNumId w:val="0"/>
  </w:num>
  <w:num w:numId="5">
    <w:abstractNumId w:val="11"/>
  </w:num>
  <w:num w:numId="6">
    <w:abstractNumId w:val="4"/>
  </w:num>
  <w:num w:numId="7">
    <w:abstractNumId w:val="3"/>
  </w:num>
  <w:num w:numId="8">
    <w:abstractNumId w:val="7"/>
  </w:num>
  <w:num w:numId="9">
    <w:abstractNumId w:val="9"/>
  </w:num>
  <w:num w:numId="10">
    <w:abstractNumId w:val="8"/>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6A32A3"/>
    <w:rsid w:val="008C11B0"/>
    <w:rsid w:val="00A234BF"/>
    <w:rsid w:val="00A37C1C"/>
    <w:rsid w:val="00A87743"/>
    <w:rsid w:val="00B06E67"/>
    <w:rsid w:val="00C24C4D"/>
    <w:rsid w:val="00C75EE7"/>
    <w:rsid w:val="00D0754F"/>
    <w:rsid w:val="00D25C57"/>
    <w:rsid w:val="00E658FD"/>
    <w:rsid w:val="00E7058B"/>
    <w:rsid w:val="00E73B88"/>
    <w:rsid w:val="00ED2E2B"/>
    <w:rsid w:val="00EF4818"/>
    <w:rsid w:val="010334B8"/>
    <w:rsid w:val="01081B3E"/>
    <w:rsid w:val="01096691"/>
    <w:rsid w:val="010E7C2C"/>
    <w:rsid w:val="011B3DEE"/>
    <w:rsid w:val="012C40D7"/>
    <w:rsid w:val="01595770"/>
    <w:rsid w:val="015C6643"/>
    <w:rsid w:val="01633FC3"/>
    <w:rsid w:val="017C407C"/>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586ABC"/>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600D99"/>
    <w:rsid w:val="03751C38"/>
    <w:rsid w:val="037C4E46"/>
    <w:rsid w:val="039242F7"/>
    <w:rsid w:val="039F6C2A"/>
    <w:rsid w:val="03A83E56"/>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3310E"/>
    <w:rsid w:val="072950F2"/>
    <w:rsid w:val="072C0F15"/>
    <w:rsid w:val="072D4B68"/>
    <w:rsid w:val="07354BE2"/>
    <w:rsid w:val="07410D95"/>
    <w:rsid w:val="07412138"/>
    <w:rsid w:val="075014AD"/>
    <w:rsid w:val="075B4E21"/>
    <w:rsid w:val="07631C05"/>
    <w:rsid w:val="076B50BC"/>
    <w:rsid w:val="07747F4A"/>
    <w:rsid w:val="079743E7"/>
    <w:rsid w:val="07A03B2F"/>
    <w:rsid w:val="07B728D5"/>
    <w:rsid w:val="07BC033E"/>
    <w:rsid w:val="07BE3841"/>
    <w:rsid w:val="07DE508C"/>
    <w:rsid w:val="08170305"/>
    <w:rsid w:val="081E4B5F"/>
    <w:rsid w:val="08273F8D"/>
    <w:rsid w:val="082A0972"/>
    <w:rsid w:val="082D4BBF"/>
    <w:rsid w:val="082F067D"/>
    <w:rsid w:val="083126FA"/>
    <w:rsid w:val="084167F2"/>
    <w:rsid w:val="0842189C"/>
    <w:rsid w:val="0843731D"/>
    <w:rsid w:val="08575FBE"/>
    <w:rsid w:val="08662D55"/>
    <w:rsid w:val="086D4B2F"/>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31675"/>
    <w:rsid w:val="09FB666F"/>
    <w:rsid w:val="0A096F0D"/>
    <w:rsid w:val="0A153CE4"/>
    <w:rsid w:val="0A171B51"/>
    <w:rsid w:val="0A1F7B28"/>
    <w:rsid w:val="0A38411F"/>
    <w:rsid w:val="0A4679E7"/>
    <w:rsid w:val="0A4F4EB7"/>
    <w:rsid w:val="0A573505"/>
    <w:rsid w:val="0A580F8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D95C00"/>
    <w:rsid w:val="0BFF4A4F"/>
    <w:rsid w:val="0C0761ED"/>
    <w:rsid w:val="0C0F2856"/>
    <w:rsid w:val="0C201AD9"/>
    <w:rsid w:val="0C26395F"/>
    <w:rsid w:val="0C3139C5"/>
    <w:rsid w:val="0C3D0422"/>
    <w:rsid w:val="0C3F70FC"/>
    <w:rsid w:val="0C403025"/>
    <w:rsid w:val="0C573148"/>
    <w:rsid w:val="0C6B3E4C"/>
    <w:rsid w:val="0C7A3E69"/>
    <w:rsid w:val="0C93296B"/>
    <w:rsid w:val="0C996207"/>
    <w:rsid w:val="0CA230CA"/>
    <w:rsid w:val="0CAA58C4"/>
    <w:rsid w:val="0CAE6EDD"/>
    <w:rsid w:val="0CBF46CF"/>
    <w:rsid w:val="0CC31170"/>
    <w:rsid w:val="0CCC4667"/>
    <w:rsid w:val="0CD41A6D"/>
    <w:rsid w:val="0CF12E49"/>
    <w:rsid w:val="0CF705D6"/>
    <w:rsid w:val="0CFD3FBD"/>
    <w:rsid w:val="0D003464"/>
    <w:rsid w:val="0D080870"/>
    <w:rsid w:val="0D092E4F"/>
    <w:rsid w:val="0D0E4978"/>
    <w:rsid w:val="0D3D618A"/>
    <w:rsid w:val="0D3F097E"/>
    <w:rsid w:val="0D576071"/>
    <w:rsid w:val="0D624402"/>
    <w:rsid w:val="0D697A75"/>
    <w:rsid w:val="0D6E5C96"/>
    <w:rsid w:val="0D794027"/>
    <w:rsid w:val="0D8008CF"/>
    <w:rsid w:val="0D80452E"/>
    <w:rsid w:val="0D95403E"/>
    <w:rsid w:val="0D9F3231"/>
    <w:rsid w:val="0DA306EE"/>
    <w:rsid w:val="0DBF259D"/>
    <w:rsid w:val="0DC566A4"/>
    <w:rsid w:val="0DC57BCA"/>
    <w:rsid w:val="0DCC602F"/>
    <w:rsid w:val="0DDF6E5C"/>
    <w:rsid w:val="0DF513F2"/>
    <w:rsid w:val="0DF83BBD"/>
    <w:rsid w:val="0DFE15A3"/>
    <w:rsid w:val="0E1C70B3"/>
    <w:rsid w:val="0E2005AB"/>
    <w:rsid w:val="0E241F41"/>
    <w:rsid w:val="0E2A3E4A"/>
    <w:rsid w:val="0E2C3933"/>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746B6"/>
    <w:rsid w:val="0FD94151"/>
    <w:rsid w:val="0FF80ADD"/>
    <w:rsid w:val="0FFA0BA8"/>
    <w:rsid w:val="103B2931"/>
    <w:rsid w:val="105153AD"/>
    <w:rsid w:val="1053215A"/>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3B45F5"/>
    <w:rsid w:val="123D56D9"/>
    <w:rsid w:val="12413F80"/>
    <w:rsid w:val="126A5C5D"/>
    <w:rsid w:val="12851A4C"/>
    <w:rsid w:val="12960691"/>
    <w:rsid w:val="12A365A3"/>
    <w:rsid w:val="12A36D19"/>
    <w:rsid w:val="12A44024"/>
    <w:rsid w:val="12C54559"/>
    <w:rsid w:val="12DF4C74"/>
    <w:rsid w:val="12E73814"/>
    <w:rsid w:val="12F450A8"/>
    <w:rsid w:val="1301537A"/>
    <w:rsid w:val="130616AF"/>
    <w:rsid w:val="131577DB"/>
    <w:rsid w:val="131D046B"/>
    <w:rsid w:val="1322106F"/>
    <w:rsid w:val="132D673F"/>
    <w:rsid w:val="13303AB1"/>
    <w:rsid w:val="133421A4"/>
    <w:rsid w:val="134104D7"/>
    <w:rsid w:val="134A3E38"/>
    <w:rsid w:val="135B2B22"/>
    <w:rsid w:val="135C7F4F"/>
    <w:rsid w:val="13606D51"/>
    <w:rsid w:val="136256DC"/>
    <w:rsid w:val="1363535C"/>
    <w:rsid w:val="136844F9"/>
    <w:rsid w:val="136F116E"/>
    <w:rsid w:val="13702473"/>
    <w:rsid w:val="139559A9"/>
    <w:rsid w:val="139A608E"/>
    <w:rsid w:val="139F60D9"/>
    <w:rsid w:val="13A67F63"/>
    <w:rsid w:val="13AD6A55"/>
    <w:rsid w:val="13DF4301"/>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D96AD4"/>
    <w:rsid w:val="14F05DE7"/>
    <w:rsid w:val="15021204"/>
    <w:rsid w:val="15064236"/>
    <w:rsid w:val="151643D6"/>
    <w:rsid w:val="15206937"/>
    <w:rsid w:val="154645F8"/>
    <w:rsid w:val="154C1139"/>
    <w:rsid w:val="15682461"/>
    <w:rsid w:val="159F4C86"/>
    <w:rsid w:val="15AD3A82"/>
    <w:rsid w:val="15B410EB"/>
    <w:rsid w:val="15BF12E4"/>
    <w:rsid w:val="15C603C9"/>
    <w:rsid w:val="15CE7E95"/>
    <w:rsid w:val="15D00754"/>
    <w:rsid w:val="15E82AFC"/>
    <w:rsid w:val="15EA5FFF"/>
    <w:rsid w:val="15EB7304"/>
    <w:rsid w:val="15EE78D0"/>
    <w:rsid w:val="161165A9"/>
    <w:rsid w:val="161D0DD8"/>
    <w:rsid w:val="1637041A"/>
    <w:rsid w:val="16501227"/>
    <w:rsid w:val="1652472A"/>
    <w:rsid w:val="167028EC"/>
    <w:rsid w:val="168B2318"/>
    <w:rsid w:val="1696102E"/>
    <w:rsid w:val="16A135AF"/>
    <w:rsid w:val="16BB6316"/>
    <w:rsid w:val="16BC5984"/>
    <w:rsid w:val="16CD4A10"/>
    <w:rsid w:val="16D162FD"/>
    <w:rsid w:val="16D34EC0"/>
    <w:rsid w:val="16D730C1"/>
    <w:rsid w:val="16DB117B"/>
    <w:rsid w:val="16E628C2"/>
    <w:rsid w:val="170148CE"/>
    <w:rsid w:val="170B1239"/>
    <w:rsid w:val="171112E5"/>
    <w:rsid w:val="17160823"/>
    <w:rsid w:val="17326BFF"/>
    <w:rsid w:val="173340E6"/>
    <w:rsid w:val="176432ED"/>
    <w:rsid w:val="1766497C"/>
    <w:rsid w:val="17846D8A"/>
    <w:rsid w:val="179358ED"/>
    <w:rsid w:val="17B13154"/>
    <w:rsid w:val="17CE2D1D"/>
    <w:rsid w:val="17EF5450"/>
    <w:rsid w:val="18093767"/>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1A4F3D"/>
    <w:rsid w:val="191E0979"/>
    <w:rsid w:val="19286D8E"/>
    <w:rsid w:val="19362978"/>
    <w:rsid w:val="19362B11"/>
    <w:rsid w:val="194B0F90"/>
    <w:rsid w:val="194F425A"/>
    <w:rsid w:val="195E499F"/>
    <w:rsid w:val="19A22A9C"/>
    <w:rsid w:val="19AB5A16"/>
    <w:rsid w:val="19AB5B69"/>
    <w:rsid w:val="19B6063F"/>
    <w:rsid w:val="19C21571"/>
    <w:rsid w:val="19D3216D"/>
    <w:rsid w:val="19DB757A"/>
    <w:rsid w:val="19DE61EA"/>
    <w:rsid w:val="19E5623B"/>
    <w:rsid w:val="19F743DF"/>
    <w:rsid w:val="1A002E8D"/>
    <w:rsid w:val="1A092EB5"/>
    <w:rsid w:val="1A093D0B"/>
    <w:rsid w:val="1A0F674F"/>
    <w:rsid w:val="1A111C52"/>
    <w:rsid w:val="1A2608F3"/>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0F63F2"/>
    <w:rsid w:val="1B1A7F06"/>
    <w:rsid w:val="1B400965"/>
    <w:rsid w:val="1B450D4A"/>
    <w:rsid w:val="1B456B6C"/>
    <w:rsid w:val="1B5C41F3"/>
    <w:rsid w:val="1B685A87"/>
    <w:rsid w:val="1B784A1C"/>
    <w:rsid w:val="1B797F1F"/>
    <w:rsid w:val="1B897F89"/>
    <w:rsid w:val="1BB258FC"/>
    <w:rsid w:val="1BD815BE"/>
    <w:rsid w:val="1BED197A"/>
    <w:rsid w:val="1BEE7EDE"/>
    <w:rsid w:val="1BFF39FC"/>
    <w:rsid w:val="1C1823A7"/>
    <w:rsid w:val="1C274BC0"/>
    <w:rsid w:val="1C417A54"/>
    <w:rsid w:val="1C4231EC"/>
    <w:rsid w:val="1C4A27F6"/>
    <w:rsid w:val="1C8428CC"/>
    <w:rsid w:val="1C884DE7"/>
    <w:rsid w:val="1CB731AA"/>
    <w:rsid w:val="1CB908AC"/>
    <w:rsid w:val="1CC26829"/>
    <w:rsid w:val="1CD93386"/>
    <w:rsid w:val="1CDC7B67"/>
    <w:rsid w:val="1CE32D75"/>
    <w:rsid w:val="1D176197"/>
    <w:rsid w:val="1D1B2ECF"/>
    <w:rsid w:val="1D1C66A0"/>
    <w:rsid w:val="1D3A2CBF"/>
    <w:rsid w:val="1D3A3784"/>
    <w:rsid w:val="1D3D187B"/>
    <w:rsid w:val="1D46746A"/>
    <w:rsid w:val="1D4E0DE6"/>
    <w:rsid w:val="1D5F1AB5"/>
    <w:rsid w:val="1D5F3C1E"/>
    <w:rsid w:val="1D72073B"/>
    <w:rsid w:val="1D786CA0"/>
    <w:rsid w:val="1DA1442D"/>
    <w:rsid w:val="1DA453B1"/>
    <w:rsid w:val="1DB530CD"/>
    <w:rsid w:val="1DCA715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356A41"/>
    <w:rsid w:val="1F574BFC"/>
    <w:rsid w:val="1F5F5687"/>
    <w:rsid w:val="1F63408D"/>
    <w:rsid w:val="1F665012"/>
    <w:rsid w:val="1F667210"/>
    <w:rsid w:val="1F6F3BC8"/>
    <w:rsid w:val="1F713F17"/>
    <w:rsid w:val="1F750C79"/>
    <w:rsid w:val="1F7B1734"/>
    <w:rsid w:val="1F8079C8"/>
    <w:rsid w:val="1F904D1B"/>
    <w:rsid w:val="1F921AFC"/>
    <w:rsid w:val="1F9C253B"/>
    <w:rsid w:val="1FBF3122"/>
    <w:rsid w:val="1FBF7ED9"/>
    <w:rsid w:val="1FC2792A"/>
    <w:rsid w:val="1FC542EC"/>
    <w:rsid w:val="1FDA2848"/>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F5755"/>
    <w:rsid w:val="21556A3C"/>
    <w:rsid w:val="217B257A"/>
    <w:rsid w:val="218063DE"/>
    <w:rsid w:val="2181453C"/>
    <w:rsid w:val="2185500C"/>
    <w:rsid w:val="21A041E8"/>
    <w:rsid w:val="21A65541"/>
    <w:rsid w:val="21A835A0"/>
    <w:rsid w:val="21B1733E"/>
    <w:rsid w:val="21B568F1"/>
    <w:rsid w:val="21C71C6C"/>
    <w:rsid w:val="21EF5F68"/>
    <w:rsid w:val="21F51F69"/>
    <w:rsid w:val="220B1D86"/>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B5C6A"/>
    <w:rsid w:val="23102595"/>
    <w:rsid w:val="232A313F"/>
    <w:rsid w:val="2331054B"/>
    <w:rsid w:val="233D0CA3"/>
    <w:rsid w:val="2350557D"/>
    <w:rsid w:val="23543698"/>
    <w:rsid w:val="235532CB"/>
    <w:rsid w:val="23571683"/>
    <w:rsid w:val="2378316C"/>
    <w:rsid w:val="23A6050A"/>
    <w:rsid w:val="23AB02F8"/>
    <w:rsid w:val="23B452A1"/>
    <w:rsid w:val="23B52D23"/>
    <w:rsid w:val="23DC6475"/>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AD32BB"/>
    <w:rsid w:val="24B66149"/>
    <w:rsid w:val="24CF5058"/>
    <w:rsid w:val="24E06F8D"/>
    <w:rsid w:val="24EF6A74"/>
    <w:rsid w:val="24F02BBA"/>
    <w:rsid w:val="24F02CB3"/>
    <w:rsid w:val="24F757D1"/>
    <w:rsid w:val="25016670"/>
    <w:rsid w:val="251364E2"/>
    <w:rsid w:val="25236CE0"/>
    <w:rsid w:val="25292DAC"/>
    <w:rsid w:val="253731E2"/>
    <w:rsid w:val="25380D5E"/>
    <w:rsid w:val="254002AB"/>
    <w:rsid w:val="254D1B3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117D22"/>
    <w:rsid w:val="261C37E3"/>
    <w:rsid w:val="262805A9"/>
    <w:rsid w:val="262864B1"/>
    <w:rsid w:val="264A36AB"/>
    <w:rsid w:val="264E29E7"/>
    <w:rsid w:val="264F58A0"/>
    <w:rsid w:val="265817DB"/>
    <w:rsid w:val="26685E4E"/>
    <w:rsid w:val="266D09DC"/>
    <w:rsid w:val="26710598"/>
    <w:rsid w:val="26714A83"/>
    <w:rsid w:val="267972B5"/>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90955"/>
    <w:rsid w:val="293C5A45"/>
    <w:rsid w:val="293E4099"/>
    <w:rsid w:val="294D10FC"/>
    <w:rsid w:val="29613C3C"/>
    <w:rsid w:val="296B6BBA"/>
    <w:rsid w:val="297E7643"/>
    <w:rsid w:val="298724B4"/>
    <w:rsid w:val="29925D2E"/>
    <w:rsid w:val="299A7BB4"/>
    <w:rsid w:val="29AA010A"/>
    <w:rsid w:val="29DA2F38"/>
    <w:rsid w:val="29FA68D1"/>
    <w:rsid w:val="2A1A17A3"/>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E5357A"/>
    <w:rsid w:val="2BFD4452"/>
    <w:rsid w:val="2C0525C8"/>
    <w:rsid w:val="2C102B57"/>
    <w:rsid w:val="2C153FA1"/>
    <w:rsid w:val="2C1A370D"/>
    <w:rsid w:val="2C2240F7"/>
    <w:rsid w:val="2C2F011E"/>
    <w:rsid w:val="2C3F7E23"/>
    <w:rsid w:val="2C6A796D"/>
    <w:rsid w:val="2C6C546F"/>
    <w:rsid w:val="2C71696C"/>
    <w:rsid w:val="2C7176F9"/>
    <w:rsid w:val="2C784B05"/>
    <w:rsid w:val="2C7D1787"/>
    <w:rsid w:val="2C8C2789"/>
    <w:rsid w:val="2C9C35A9"/>
    <w:rsid w:val="2C9C42D9"/>
    <w:rsid w:val="2CAC6259"/>
    <w:rsid w:val="2CB71D79"/>
    <w:rsid w:val="2CBA6005"/>
    <w:rsid w:val="2CC04EFA"/>
    <w:rsid w:val="2CFB3628"/>
    <w:rsid w:val="2D2E332F"/>
    <w:rsid w:val="2D312F7F"/>
    <w:rsid w:val="2D3319B5"/>
    <w:rsid w:val="2D3376D8"/>
    <w:rsid w:val="2D4476D1"/>
    <w:rsid w:val="2D4C0361"/>
    <w:rsid w:val="2D516C15"/>
    <w:rsid w:val="2D5477C2"/>
    <w:rsid w:val="2D7D79A1"/>
    <w:rsid w:val="2D855F3C"/>
    <w:rsid w:val="2DA61CF4"/>
    <w:rsid w:val="2DB00085"/>
    <w:rsid w:val="2DE95C61"/>
    <w:rsid w:val="2DF602B7"/>
    <w:rsid w:val="2DFE2383"/>
    <w:rsid w:val="2E194231"/>
    <w:rsid w:val="2E1F61D9"/>
    <w:rsid w:val="2E3458E0"/>
    <w:rsid w:val="2E40666F"/>
    <w:rsid w:val="2E4D5985"/>
    <w:rsid w:val="2E544021"/>
    <w:rsid w:val="2E654C7E"/>
    <w:rsid w:val="2E934898"/>
    <w:rsid w:val="2E93719C"/>
    <w:rsid w:val="2EA10D4B"/>
    <w:rsid w:val="2EA9281C"/>
    <w:rsid w:val="2EBA247E"/>
    <w:rsid w:val="2EC0772B"/>
    <w:rsid w:val="2ED139E0"/>
    <w:rsid w:val="2ED90459"/>
    <w:rsid w:val="2EDC1D71"/>
    <w:rsid w:val="2EE4137C"/>
    <w:rsid w:val="2EF561D3"/>
    <w:rsid w:val="2F167C65"/>
    <w:rsid w:val="2F280B6B"/>
    <w:rsid w:val="2F370AB8"/>
    <w:rsid w:val="2F413C94"/>
    <w:rsid w:val="2F437197"/>
    <w:rsid w:val="2F475B9D"/>
    <w:rsid w:val="2F4B0334"/>
    <w:rsid w:val="2F690E30"/>
    <w:rsid w:val="2F7041AE"/>
    <w:rsid w:val="2F7743A1"/>
    <w:rsid w:val="2F814187"/>
    <w:rsid w:val="2F8639E2"/>
    <w:rsid w:val="2F973463"/>
    <w:rsid w:val="2FBF7DE5"/>
    <w:rsid w:val="2FC20D6A"/>
    <w:rsid w:val="2FC30914"/>
    <w:rsid w:val="2FC67A85"/>
    <w:rsid w:val="2FCF028E"/>
    <w:rsid w:val="2FD31004"/>
    <w:rsid w:val="2FEC412C"/>
    <w:rsid w:val="2FF14729"/>
    <w:rsid w:val="2FF31539"/>
    <w:rsid w:val="303402EE"/>
    <w:rsid w:val="303F6316"/>
    <w:rsid w:val="30594760"/>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586882"/>
    <w:rsid w:val="315A5F63"/>
    <w:rsid w:val="315A7B86"/>
    <w:rsid w:val="315F1A90"/>
    <w:rsid w:val="315F400E"/>
    <w:rsid w:val="31696F75"/>
    <w:rsid w:val="31726B52"/>
    <w:rsid w:val="317503B0"/>
    <w:rsid w:val="31781AFD"/>
    <w:rsid w:val="31865A40"/>
    <w:rsid w:val="319D51A8"/>
    <w:rsid w:val="31A96174"/>
    <w:rsid w:val="31B01282"/>
    <w:rsid w:val="31BC0B24"/>
    <w:rsid w:val="31BE78AB"/>
    <w:rsid w:val="31CB712A"/>
    <w:rsid w:val="31E657CA"/>
    <w:rsid w:val="31E806EF"/>
    <w:rsid w:val="31E85D1D"/>
    <w:rsid w:val="31F6197E"/>
    <w:rsid w:val="31F73CFB"/>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6B3220"/>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54F15"/>
    <w:rsid w:val="34E96ADE"/>
    <w:rsid w:val="34EC7A62"/>
    <w:rsid w:val="35093AFE"/>
    <w:rsid w:val="353323D5"/>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31149"/>
    <w:rsid w:val="35DA13FE"/>
    <w:rsid w:val="35DB18E9"/>
    <w:rsid w:val="35E069B4"/>
    <w:rsid w:val="35EA4102"/>
    <w:rsid w:val="3603722A"/>
    <w:rsid w:val="36127845"/>
    <w:rsid w:val="3618394C"/>
    <w:rsid w:val="36285F9A"/>
    <w:rsid w:val="36366780"/>
    <w:rsid w:val="36410CC6"/>
    <w:rsid w:val="36453517"/>
    <w:rsid w:val="364C2EB6"/>
    <w:rsid w:val="36580BA2"/>
    <w:rsid w:val="36665823"/>
    <w:rsid w:val="36794C6B"/>
    <w:rsid w:val="36852913"/>
    <w:rsid w:val="36A54835"/>
    <w:rsid w:val="36B62551"/>
    <w:rsid w:val="36B6284E"/>
    <w:rsid w:val="36CD2176"/>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B6B1D"/>
    <w:rsid w:val="385C3F07"/>
    <w:rsid w:val="38662298"/>
    <w:rsid w:val="386D639F"/>
    <w:rsid w:val="38864D4B"/>
    <w:rsid w:val="38933456"/>
    <w:rsid w:val="38CB386D"/>
    <w:rsid w:val="38CD2F41"/>
    <w:rsid w:val="38CF6444"/>
    <w:rsid w:val="38D146E8"/>
    <w:rsid w:val="38E73AEB"/>
    <w:rsid w:val="38EE7BF2"/>
    <w:rsid w:val="39003390"/>
    <w:rsid w:val="390B796E"/>
    <w:rsid w:val="392302DB"/>
    <w:rsid w:val="392F3EDF"/>
    <w:rsid w:val="39456083"/>
    <w:rsid w:val="39554190"/>
    <w:rsid w:val="395A05A6"/>
    <w:rsid w:val="395C56F6"/>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D236C9"/>
    <w:rsid w:val="3AE311F9"/>
    <w:rsid w:val="3AEA41B5"/>
    <w:rsid w:val="3AEF1B57"/>
    <w:rsid w:val="3AF97B2C"/>
    <w:rsid w:val="3B006358"/>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529E"/>
    <w:rsid w:val="3BF24696"/>
    <w:rsid w:val="3BF76926"/>
    <w:rsid w:val="3C077299"/>
    <w:rsid w:val="3C1B51D6"/>
    <w:rsid w:val="3C352ED2"/>
    <w:rsid w:val="3C377099"/>
    <w:rsid w:val="3C483CE1"/>
    <w:rsid w:val="3C587C0F"/>
    <w:rsid w:val="3C5E1B18"/>
    <w:rsid w:val="3C6B33AC"/>
    <w:rsid w:val="3C7103A4"/>
    <w:rsid w:val="3C727A03"/>
    <w:rsid w:val="3C7D23CD"/>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27DBA"/>
    <w:rsid w:val="3D8B16BA"/>
    <w:rsid w:val="3D8C6D07"/>
    <w:rsid w:val="3D8E126F"/>
    <w:rsid w:val="3D910C10"/>
    <w:rsid w:val="3D9129C0"/>
    <w:rsid w:val="3DA42D80"/>
    <w:rsid w:val="3DB21145"/>
    <w:rsid w:val="3DB3244A"/>
    <w:rsid w:val="3DB810A3"/>
    <w:rsid w:val="3DC877EB"/>
    <w:rsid w:val="3DD3111B"/>
    <w:rsid w:val="3DF17673"/>
    <w:rsid w:val="3E0E185F"/>
    <w:rsid w:val="3E166C6B"/>
    <w:rsid w:val="3E243A02"/>
    <w:rsid w:val="3E3F07D8"/>
    <w:rsid w:val="3E5637BF"/>
    <w:rsid w:val="3E5F4689"/>
    <w:rsid w:val="3E6952DF"/>
    <w:rsid w:val="3E6A6CD9"/>
    <w:rsid w:val="3EB9759D"/>
    <w:rsid w:val="3EBA63BF"/>
    <w:rsid w:val="3EC724A8"/>
    <w:rsid w:val="3EC7320B"/>
    <w:rsid w:val="3ECC285F"/>
    <w:rsid w:val="3EE3321B"/>
    <w:rsid w:val="3EEE30CB"/>
    <w:rsid w:val="3EFC6F54"/>
    <w:rsid w:val="3F0350D0"/>
    <w:rsid w:val="3F0A5386"/>
    <w:rsid w:val="3F22024C"/>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E6D3C"/>
    <w:rsid w:val="41504E33"/>
    <w:rsid w:val="41600151"/>
    <w:rsid w:val="41603818"/>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993D8E"/>
    <w:rsid w:val="43A01007"/>
    <w:rsid w:val="43BD64CB"/>
    <w:rsid w:val="43D413C5"/>
    <w:rsid w:val="43E56B7B"/>
    <w:rsid w:val="43F168AA"/>
    <w:rsid w:val="43F25407"/>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C04B5B"/>
    <w:rsid w:val="44CF32BF"/>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82D"/>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9A6DE4"/>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758BD"/>
    <w:rsid w:val="488E5A9B"/>
    <w:rsid w:val="48942F22"/>
    <w:rsid w:val="489453AF"/>
    <w:rsid w:val="489973AA"/>
    <w:rsid w:val="48A26090"/>
    <w:rsid w:val="48AC334A"/>
    <w:rsid w:val="48AE1E30"/>
    <w:rsid w:val="48AE5697"/>
    <w:rsid w:val="48AF1F07"/>
    <w:rsid w:val="48B225B7"/>
    <w:rsid w:val="48B56CDA"/>
    <w:rsid w:val="48B64E60"/>
    <w:rsid w:val="48E2521F"/>
    <w:rsid w:val="48E95311"/>
    <w:rsid w:val="48F12CEE"/>
    <w:rsid w:val="48FC164D"/>
    <w:rsid w:val="4938000E"/>
    <w:rsid w:val="4941303B"/>
    <w:rsid w:val="4943682E"/>
    <w:rsid w:val="494E6A78"/>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0C170B"/>
    <w:rsid w:val="4A244932"/>
    <w:rsid w:val="4A2B42BD"/>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4B6DB8"/>
    <w:rsid w:val="4B610AB6"/>
    <w:rsid w:val="4B727B1B"/>
    <w:rsid w:val="4B75645A"/>
    <w:rsid w:val="4B917087"/>
    <w:rsid w:val="4BA7702D"/>
    <w:rsid w:val="4BAC0F6C"/>
    <w:rsid w:val="4BB46FD1"/>
    <w:rsid w:val="4BB54D88"/>
    <w:rsid w:val="4BE81A13"/>
    <w:rsid w:val="4C0B1225"/>
    <w:rsid w:val="4C0D01BF"/>
    <w:rsid w:val="4C1031D9"/>
    <w:rsid w:val="4C1053D7"/>
    <w:rsid w:val="4C2E5A88"/>
    <w:rsid w:val="4C314875"/>
    <w:rsid w:val="4C6378AA"/>
    <w:rsid w:val="4C742EFD"/>
    <w:rsid w:val="4C750F78"/>
    <w:rsid w:val="4C76605D"/>
    <w:rsid w:val="4C8E5CA5"/>
    <w:rsid w:val="4C997B74"/>
    <w:rsid w:val="4CB31611"/>
    <w:rsid w:val="4CB6277A"/>
    <w:rsid w:val="4CC84B86"/>
    <w:rsid w:val="4CCD5DE2"/>
    <w:rsid w:val="4CCF7D94"/>
    <w:rsid w:val="4D087FDF"/>
    <w:rsid w:val="4D121D34"/>
    <w:rsid w:val="4D2729A1"/>
    <w:rsid w:val="4D36317A"/>
    <w:rsid w:val="4D416DCE"/>
    <w:rsid w:val="4D687B25"/>
    <w:rsid w:val="4D7A3398"/>
    <w:rsid w:val="4DA229C6"/>
    <w:rsid w:val="4DA62213"/>
    <w:rsid w:val="4DAA1EDE"/>
    <w:rsid w:val="4DB6297D"/>
    <w:rsid w:val="4DB92EE9"/>
    <w:rsid w:val="4DE72A8A"/>
    <w:rsid w:val="4DED276A"/>
    <w:rsid w:val="4E000105"/>
    <w:rsid w:val="4E1857AC"/>
    <w:rsid w:val="4E2934F9"/>
    <w:rsid w:val="4E2C0EEF"/>
    <w:rsid w:val="4E4740FD"/>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470EC"/>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DA09B5"/>
    <w:rsid w:val="4FEF4074"/>
    <w:rsid w:val="4FF166B7"/>
    <w:rsid w:val="4FF268D4"/>
    <w:rsid w:val="50342624"/>
    <w:rsid w:val="504A004A"/>
    <w:rsid w:val="50505EC7"/>
    <w:rsid w:val="5058366F"/>
    <w:rsid w:val="50617C70"/>
    <w:rsid w:val="50651CC9"/>
    <w:rsid w:val="50714687"/>
    <w:rsid w:val="507C43C1"/>
    <w:rsid w:val="50847496"/>
    <w:rsid w:val="508B10D5"/>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91C31"/>
    <w:rsid w:val="513671C8"/>
    <w:rsid w:val="515A2406"/>
    <w:rsid w:val="516A26A0"/>
    <w:rsid w:val="5173552E"/>
    <w:rsid w:val="51774DB4"/>
    <w:rsid w:val="517A073C"/>
    <w:rsid w:val="517A638F"/>
    <w:rsid w:val="517D50F1"/>
    <w:rsid w:val="518122C6"/>
    <w:rsid w:val="51861FD1"/>
    <w:rsid w:val="518B28F4"/>
    <w:rsid w:val="51BA56A1"/>
    <w:rsid w:val="51C365B2"/>
    <w:rsid w:val="51D51D50"/>
    <w:rsid w:val="51D92F0B"/>
    <w:rsid w:val="51DA038A"/>
    <w:rsid w:val="51DF265F"/>
    <w:rsid w:val="51EA4273"/>
    <w:rsid w:val="51EB5CE6"/>
    <w:rsid w:val="51F45AFC"/>
    <w:rsid w:val="51F71709"/>
    <w:rsid w:val="51FF0996"/>
    <w:rsid w:val="52150DA6"/>
    <w:rsid w:val="52154D37"/>
    <w:rsid w:val="522378D0"/>
    <w:rsid w:val="52324668"/>
    <w:rsid w:val="523873B8"/>
    <w:rsid w:val="524A2A16"/>
    <w:rsid w:val="524F3C18"/>
    <w:rsid w:val="525E29B5"/>
    <w:rsid w:val="526712BE"/>
    <w:rsid w:val="52686D40"/>
    <w:rsid w:val="52717D1C"/>
    <w:rsid w:val="52753E57"/>
    <w:rsid w:val="528A181C"/>
    <w:rsid w:val="529E3A37"/>
    <w:rsid w:val="52B95845"/>
    <w:rsid w:val="52C20E6D"/>
    <w:rsid w:val="52C36155"/>
    <w:rsid w:val="52CD3145"/>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986FA7"/>
    <w:rsid w:val="53A110F4"/>
    <w:rsid w:val="53A23138"/>
    <w:rsid w:val="53C127F5"/>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B5A3F"/>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CB3A71"/>
    <w:rsid w:val="56CE33F3"/>
    <w:rsid w:val="56E5461B"/>
    <w:rsid w:val="56E865F9"/>
    <w:rsid w:val="56FA4774"/>
    <w:rsid w:val="570F6AE4"/>
    <w:rsid w:val="57101FE7"/>
    <w:rsid w:val="571F0F7D"/>
    <w:rsid w:val="57276449"/>
    <w:rsid w:val="572E44F8"/>
    <w:rsid w:val="57420238"/>
    <w:rsid w:val="57461076"/>
    <w:rsid w:val="575514CD"/>
    <w:rsid w:val="57566604"/>
    <w:rsid w:val="57577640"/>
    <w:rsid w:val="575A1224"/>
    <w:rsid w:val="575E1F39"/>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C319D"/>
    <w:rsid w:val="586E14BF"/>
    <w:rsid w:val="586E66A0"/>
    <w:rsid w:val="588F186B"/>
    <w:rsid w:val="5898018C"/>
    <w:rsid w:val="58AD748A"/>
    <w:rsid w:val="58AD7D6B"/>
    <w:rsid w:val="58AE61E9"/>
    <w:rsid w:val="58B80A8D"/>
    <w:rsid w:val="58B977CD"/>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F307F"/>
    <w:rsid w:val="5A2E0C74"/>
    <w:rsid w:val="5A422436"/>
    <w:rsid w:val="5A425322"/>
    <w:rsid w:val="5A4336AF"/>
    <w:rsid w:val="5A4562A7"/>
    <w:rsid w:val="5A4717AA"/>
    <w:rsid w:val="5A561DC4"/>
    <w:rsid w:val="5A6048D2"/>
    <w:rsid w:val="5A687BD7"/>
    <w:rsid w:val="5A6E4BA3"/>
    <w:rsid w:val="5A805435"/>
    <w:rsid w:val="5A832FB0"/>
    <w:rsid w:val="5A8C449C"/>
    <w:rsid w:val="5A9F10B9"/>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584E6A"/>
    <w:rsid w:val="5B5C727B"/>
    <w:rsid w:val="5B6F279D"/>
    <w:rsid w:val="5B75006E"/>
    <w:rsid w:val="5B7966A3"/>
    <w:rsid w:val="5B8D78C2"/>
    <w:rsid w:val="5B8E7542"/>
    <w:rsid w:val="5B975C54"/>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D5F7F"/>
    <w:rsid w:val="5D4D4F15"/>
    <w:rsid w:val="5D6022E2"/>
    <w:rsid w:val="5D664BCA"/>
    <w:rsid w:val="5D702D81"/>
    <w:rsid w:val="5D7054D9"/>
    <w:rsid w:val="5D7F7DCC"/>
    <w:rsid w:val="5D8F6F3F"/>
    <w:rsid w:val="5D923490"/>
    <w:rsid w:val="5D9B663A"/>
    <w:rsid w:val="5DA80EB7"/>
    <w:rsid w:val="5DAB7F4D"/>
    <w:rsid w:val="5DB96BD3"/>
    <w:rsid w:val="5DBB2413"/>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6000"/>
    <w:rsid w:val="5EDD34B2"/>
    <w:rsid w:val="5EE15B23"/>
    <w:rsid w:val="5F1E4324"/>
    <w:rsid w:val="5F20157D"/>
    <w:rsid w:val="5F2538A6"/>
    <w:rsid w:val="5F292888"/>
    <w:rsid w:val="5F3336C1"/>
    <w:rsid w:val="5F3E0096"/>
    <w:rsid w:val="5F58537A"/>
    <w:rsid w:val="5F7B20B7"/>
    <w:rsid w:val="5F7F1523"/>
    <w:rsid w:val="5F8D2114"/>
    <w:rsid w:val="5F946831"/>
    <w:rsid w:val="5FA06000"/>
    <w:rsid w:val="5FA10B17"/>
    <w:rsid w:val="5FA34174"/>
    <w:rsid w:val="5FC16FA8"/>
    <w:rsid w:val="5FCC5339"/>
    <w:rsid w:val="5FEA2429"/>
    <w:rsid w:val="5FEB2E4C"/>
    <w:rsid w:val="5FF40A7C"/>
    <w:rsid w:val="5FFF488E"/>
    <w:rsid w:val="60017D91"/>
    <w:rsid w:val="601C4286"/>
    <w:rsid w:val="60263108"/>
    <w:rsid w:val="60503394"/>
    <w:rsid w:val="60642034"/>
    <w:rsid w:val="606737AA"/>
    <w:rsid w:val="60746A4B"/>
    <w:rsid w:val="607B41D8"/>
    <w:rsid w:val="60875A6C"/>
    <w:rsid w:val="60D17B2C"/>
    <w:rsid w:val="60E73525"/>
    <w:rsid w:val="61161572"/>
    <w:rsid w:val="611B04DE"/>
    <w:rsid w:val="6122664B"/>
    <w:rsid w:val="61341408"/>
    <w:rsid w:val="616B3D62"/>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442C99"/>
    <w:rsid w:val="625957CD"/>
    <w:rsid w:val="6271349C"/>
    <w:rsid w:val="628F6CB8"/>
    <w:rsid w:val="62932D84"/>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E5907"/>
    <w:rsid w:val="64A440E9"/>
    <w:rsid w:val="64B0665A"/>
    <w:rsid w:val="64BB2F53"/>
    <w:rsid w:val="64D07E58"/>
    <w:rsid w:val="64DA19E7"/>
    <w:rsid w:val="64EE2ED3"/>
    <w:rsid w:val="651962E2"/>
    <w:rsid w:val="651C4271"/>
    <w:rsid w:val="652860DA"/>
    <w:rsid w:val="65680AED"/>
    <w:rsid w:val="656C52F5"/>
    <w:rsid w:val="657007B5"/>
    <w:rsid w:val="659A2FB4"/>
    <w:rsid w:val="659E3545"/>
    <w:rsid w:val="65B87C60"/>
    <w:rsid w:val="65CC54F7"/>
    <w:rsid w:val="65D41E5E"/>
    <w:rsid w:val="65D61121"/>
    <w:rsid w:val="65DA25C0"/>
    <w:rsid w:val="65E46C93"/>
    <w:rsid w:val="65F913CA"/>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F5EF4"/>
    <w:rsid w:val="67973300"/>
    <w:rsid w:val="679E370E"/>
    <w:rsid w:val="67A01A11"/>
    <w:rsid w:val="67A42616"/>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B22BE"/>
    <w:rsid w:val="68913EF5"/>
    <w:rsid w:val="68A128B9"/>
    <w:rsid w:val="68BB7B14"/>
    <w:rsid w:val="68E1201D"/>
    <w:rsid w:val="68EA0337"/>
    <w:rsid w:val="68F128DF"/>
    <w:rsid w:val="692043B9"/>
    <w:rsid w:val="692F7B9E"/>
    <w:rsid w:val="694A3FCB"/>
    <w:rsid w:val="69621672"/>
    <w:rsid w:val="696403F8"/>
    <w:rsid w:val="698606C5"/>
    <w:rsid w:val="698C24B6"/>
    <w:rsid w:val="69927C43"/>
    <w:rsid w:val="699961BA"/>
    <w:rsid w:val="699A657E"/>
    <w:rsid w:val="69A418AD"/>
    <w:rsid w:val="69CE2026"/>
    <w:rsid w:val="69D22FB6"/>
    <w:rsid w:val="69DF7D42"/>
    <w:rsid w:val="69E63E4A"/>
    <w:rsid w:val="6A00327F"/>
    <w:rsid w:val="6A03709F"/>
    <w:rsid w:val="6A071E00"/>
    <w:rsid w:val="6A18346E"/>
    <w:rsid w:val="6A1A0E21"/>
    <w:rsid w:val="6A301273"/>
    <w:rsid w:val="6A34524E"/>
    <w:rsid w:val="6A4C0737"/>
    <w:rsid w:val="6A5E7E9D"/>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CE2BD9"/>
    <w:rsid w:val="6BE2040C"/>
    <w:rsid w:val="6BE61BF1"/>
    <w:rsid w:val="6BFD22BB"/>
    <w:rsid w:val="6C240F96"/>
    <w:rsid w:val="6C3758E2"/>
    <w:rsid w:val="6C39469E"/>
    <w:rsid w:val="6C397FC7"/>
    <w:rsid w:val="6C4504B1"/>
    <w:rsid w:val="6C4B3E20"/>
    <w:rsid w:val="6C7C7A29"/>
    <w:rsid w:val="6C972103"/>
    <w:rsid w:val="6CA92C11"/>
    <w:rsid w:val="6CD81C1E"/>
    <w:rsid w:val="6CE77CBA"/>
    <w:rsid w:val="6CE978CE"/>
    <w:rsid w:val="6CEB66C0"/>
    <w:rsid w:val="6CF60781"/>
    <w:rsid w:val="6CF62C08"/>
    <w:rsid w:val="6CF74EF3"/>
    <w:rsid w:val="6D002DE2"/>
    <w:rsid w:val="6D006926"/>
    <w:rsid w:val="6D074A14"/>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AF7660"/>
    <w:rsid w:val="6DB16F36"/>
    <w:rsid w:val="6DC7127D"/>
    <w:rsid w:val="6DDC3C07"/>
    <w:rsid w:val="6DF004EC"/>
    <w:rsid w:val="6E146A14"/>
    <w:rsid w:val="6E1C4834"/>
    <w:rsid w:val="6E232EF1"/>
    <w:rsid w:val="6E360C61"/>
    <w:rsid w:val="6E3B14E9"/>
    <w:rsid w:val="6E3B37C2"/>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601E4"/>
    <w:rsid w:val="6EDA6A7D"/>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E7666"/>
    <w:rsid w:val="6F904BDE"/>
    <w:rsid w:val="6F9D14AD"/>
    <w:rsid w:val="6FA21C45"/>
    <w:rsid w:val="6FA42A1A"/>
    <w:rsid w:val="6FBD0389"/>
    <w:rsid w:val="6FD7038D"/>
    <w:rsid w:val="6FF45AA5"/>
    <w:rsid w:val="70057BD7"/>
    <w:rsid w:val="700F26E5"/>
    <w:rsid w:val="702F4F3F"/>
    <w:rsid w:val="703838A9"/>
    <w:rsid w:val="703E1036"/>
    <w:rsid w:val="70481945"/>
    <w:rsid w:val="705047D3"/>
    <w:rsid w:val="70586A83"/>
    <w:rsid w:val="70670B75"/>
    <w:rsid w:val="70774962"/>
    <w:rsid w:val="70814FA2"/>
    <w:rsid w:val="70831BA5"/>
    <w:rsid w:val="708866C1"/>
    <w:rsid w:val="708C3298"/>
    <w:rsid w:val="708E6837"/>
    <w:rsid w:val="709177BB"/>
    <w:rsid w:val="70921A10"/>
    <w:rsid w:val="70B51F79"/>
    <w:rsid w:val="70BA6401"/>
    <w:rsid w:val="70BD3B02"/>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57E6C"/>
    <w:rsid w:val="72396872"/>
    <w:rsid w:val="723A7662"/>
    <w:rsid w:val="723B55F8"/>
    <w:rsid w:val="72427182"/>
    <w:rsid w:val="72473169"/>
    <w:rsid w:val="72602955"/>
    <w:rsid w:val="727A40E0"/>
    <w:rsid w:val="72834F56"/>
    <w:rsid w:val="72B53C3D"/>
    <w:rsid w:val="72CE3651"/>
    <w:rsid w:val="72E04348"/>
    <w:rsid w:val="73070F3B"/>
    <w:rsid w:val="73121016"/>
    <w:rsid w:val="73231D37"/>
    <w:rsid w:val="73311008"/>
    <w:rsid w:val="7332230D"/>
    <w:rsid w:val="733F66FF"/>
    <w:rsid w:val="73402061"/>
    <w:rsid w:val="734F3C9B"/>
    <w:rsid w:val="736E0E6D"/>
    <w:rsid w:val="73792A82"/>
    <w:rsid w:val="737E57AC"/>
    <w:rsid w:val="738D1722"/>
    <w:rsid w:val="738E3316"/>
    <w:rsid w:val="73916BA0"/>
    <w:rsid w:val="73B50BEA"/>
    <w:rsid w:val="73C2417B"/>
    <w:rsid w:val="73CA3785"/>
    <w:rsid w:val="73D24415"/>
    <w:rsid w:val="73DA5F72"/>
    <w:rsid w:val="73ED2A40"/>
    <w:rsid w:val="73FB730B"/>
    <w:rsid w:val="742D62BA"/>
    <w:rsid w:val="74395FED"/>
    <w:rsid w:val="743A1D97"/>
    <w:rsid w:val="744D7FDA"/>
    <w:rsid w:val="745069C6"/>
    <w:rsid w:val="7455116B"/>
    <w:rsid w:val="745F6C7C"/>
    <w:rsid w:val="7462384E"/>
    <w:rsid w:val="74653984"/>
    <w:rsid w:val="747F32A0"/>
    <w:rsid w:val="74852401"/>
    <w:rsid w:val="7493182C"/>
    <w:rsid w:val="74A55024"/>
    <w:rsid w:val="74A643ED"/>
    <w:rsid w:val="74AE0711"/>
    <w:rsid w:val="74BF4BC8"/>
    <w:rsid w:val="74D516B9"/>
    <w:rsid w:val="74D85EC1"/>
    <w:rsid w:val="74FC737A"/>
    <w:rsid w:val="750072B4"/>
    <w:rsid w:val="750147B0"/>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805B1"/>
    <w:rsid w:val="75E011BB"/>
    <w:rsid w:val="75E24D25"/>
    <w:rsid w:val="75EC4704"/>
    <w:rsid w:val="76005923"/>
    <w:rsid w:val="76032374"/>
    <w:rsid w:val="76396D82"/>
    <w:rsid w:val="76454642"/>
    <w:rsid w:val="766B7857"/>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22357"/>
    <w:rsid w:val="770F3562"/>
    <w:rsid w:val="77131D70"/>
    <w:rsid w:val="771D33A0"/>
    <w:rsid w:val="7728018A"/>
    <w:rsid w:val="7732281D"/>
    <w:rsid w:val="77480F82"/>
    <w:rsid w:val="77492442"/>
    <w:rsid w:val="77532D52"/>
    <w:rsid w:val="775B39E2"/>
    <w:rsid w:val="776B4D84"/>
    <w:rsid w:val="776D38FC"/>
    <w:rsid w:val="777F291C"/>
    <w:rsid w:val="77854826"/>
    <w:rsid w:val="778622E6"/>
    <w:rsid w:val="778F795D"/>
    <w:rsid w:val="77A8025E"/>
    <w:rsid w:val="77BA6C59"/>
    <w:rsid w:val="77C13386"/>
    <w:rsid w:val="77D20E91"/>
    <w:rsid w:val="77E524BA"/>
    <w:rsid w:val="77F96D63"/>
    <w:rsid w:val="7805161F"/>
    <w:rsid w:val="78164E43"/>
    <w:rsid w:val="78505C50"/>
    <w:rsid w:val="78735636"/>
    <w:rsid w:val="788A2511"/>
    <w:rsid w:val="78927531"/>
    <w:rsid w:val="78952465"/>
    <w:rsid w:val="78A00CED"/>
    <w:rsid w:val="78A56E7C"/>
    <w:rsid w:val="78BB3E42"/>
    <w:rsid w:val="78BB4B9C"/>
    <w:rsid w:val="78D366C6"/>
    <w:rsid w:val="78EA1B6E"/>
    <w:rsid w:val="78F114F9"/>
    <w:rsid w:val="79064509"/>
    <w:rsid w:val="791A26BE"/>
    <w:rsid w:val="79273A55"/>
    <w:rsid w:val="792D03E3"/>
    <w:rsid w:val="793C2263"/>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8007C"/>
    <w:rsid w:val="7A83640D"/>
    <w:rsid w:val="7A941198"/>
    <w:rsid w:val="7ABA0B31"/>
    <w:rsid w:val="7ACF3E92"/>
    <w:rsid w:val="7AD52994"/>
    <w:rsid w:val="7AE3772B"/>
    <w:rsid w:val="7B0F2A7C"/>
    <w:rsid w:val="7B264797"/>
    <w:rsid w:val="7B315C9C"/>
    <w:rsid w:val="7B346230"/>
    <w:rsid w:val="7B3C363D"/>
    <w:rsid w:val="7B4F485C"/>
    <w:rsid w:val="7B585E3C"/>
    <w:rsid w:val="7B5A558A"/>
    <w:rsid w:val="7B5D15F3"/>
    <w:rsid w:val="7B644801"/>
    <w:rsid w:val="7B680137"/>
    <w:rsid w:val="7B69443A"/>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861EFD"/>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552A7C"/>
    <w:rsid w:val="7F672412"/>
    <w:rsid w:val="7F7E58BB"/>
    <w:rsid w:val="7F8E00D4"/>
    <w:rsid w:val="7FA96067"/>
    <w:rsid w:val="7FC27D4A"/>
    <w:rsid w:val="7FCD6B56"/>
    <w:rsid w:val="7FCF65BC"/>
    <w:rsid w:val="7FD84CD1"/>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0000FF"/>
      <w:u w:val="single"/>
    </w:rPr>
  </w:style>
  <w:style w:type="character" w:styleId="24">
    <w:name w:val="Emphasis"/>
    <w:basedOn w:val="21"/>
    <w:qFormat/>
    <w:uiPriority w:val="0"/>
    <w:rPr>
      <w:i/>
    </w:rPr>
  </w:style>
  <w:style w:type="character" w:styleId="25">
    <w:name w:val="Hyperlink"/>
    <w:basedOn w:val="21"/>
    <w:qFormat/>
    <w:uiPriority w:val="99"/>
    <w:rPr>
      <w:color w:val="0000FF"/>
      <w:u w:val="single"/>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14</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2026-01-29T06:36:51Z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